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Century Gothic" w:hAnsi="Century Gothic" w:cs="Calibri" w:cstheme="minorHAnsi"/>
          <w:color w:themeColor="text1" w:val="000000"/>
          <w:sz w:val="20"/>
          <w:szCs w:val="20"/>
        </w:rPr>
      </w:pPr>
      <w:r>
        <w:rPr>
          <w:rFonts w:cs="Calibri" w:ascii="Century Gothic" w:hAnsi="Century Gothic" w:cstheme="minorHAnsi"/>
          <w:color w:themeColor="text1" w:val="000000"/>
          <w:sz w:val="20"/>
          <w:szCs w:val="20"/>
        </w:rPr>
        <w:t>Konary, dnia 17.09.2025</w:t>
      </w:r>
    </w:p>
    <w:p>
      <w:pPr>
        <w:pStyle w:val="Normal"/>
        <w:spacing w:lineRule="auto" w:line="240"/>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spacing w:lineRule="auto" w:line="240"/>
        <w:jc w:val="center"/>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Zapytanie ofertowe </w:t>
      </w:r>
      <w:bookmarkStart w:id="0" w:name="_GoBack"/>
      <w:r>
        <w:rPr>
          <w:rFonts w:cs="Calibri" w:ascii="Century Gothic" w:hAnsi="Century Gothic" w:cstheme="minorHAnsi"/>
          <w:b/>
          <w:color w:themeColor="text1" w:val="000000"/>
          <w:sz w:val="20"/>
          <w:szCs w:val="20"/>
          <w:shd w:fill="FFFFFF" w:val="clear"/>
        </w:rPr>
        <w:t>STOKKONARY/11/2025</w:t>
      </w:r>
      <w:bookmarkEnd w:id="0"/>
      <w:r>
        <w:rPr>
          <w:rFonts w:cs="Calibri" w:ascii="Century Gothic" w:hAnsi="Century Gothic" w:cstheme="minorHAnsi"/>
          <w:b/>
          <w:color w:themeColor="text1" w:val="000000"/>
          <w:sz w:val="20"/>
          <w:szCs w:val="20"/>
          <w:shd w:fill="FFFFFF" w:val="clear"/>
        </w:rPr>
        <w:b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 Nazwa i adres Zamawiającego </w:t>
      </w:r>
    </w:p>
    <w:p>
      <w:pPr>
        <w:pStyle w:val="Default"/>
        <w:rPr>
          <w:rFonts w:ascii="Century Gothic" w:hAnsi="Century Gothic" w:eastAsia="SimSun" w:cs="Times New Roman"/>
          <w:sz w:val="20"/>
          <w:szCs w:val="20"/>
          <w:lang w:eastAsia="pl-PL"/>
        </w:rPr>
      </w:pPr>
      <w:r>
        <w:rPr>
          <w:rFonts w:cs="NotoSans-Regular" w:ascii="Century Gothic" w:hAnsi="Century Gothic"/>
          <w:color w:themeColor="text1" w:val="000000"/>
          <w:sz w:val="20"/>
          <w:szCs w:val="20"/>
        </w:rPr>
        <w:t>FIRMA BUDOWLANA INSTAL JAR SPÓŁKA JAWNA J.JAROSZ ST.SŁOWIK, Konary 21A, 27-640 Klimontów</w:t>
      </w:r>
      <w:r>
        <w:rPr>
          <w:rFonts w:ascii="Century Gothic" w:hAnsi="Century Gothic"/>
          <w:color w:themeColor="text1" w:val="000000"/>
          <w:sz w:val="20"/>
          <w:szCs w:val="20"/>
          <w:lang w:eastAsia="pl-PL"/>
        </w:rPr>
        <w:t xml:space="preserve"> (dalej: „</w:t>
      </w:r>
      <w:r>
        <w:rPr>
          <w:rFonts w:ascii="Century Gothic" w:hAnsi="Century Gothic"/>
          <w:bCs/>
          <w:color w:themeColor="text1" w:val="000000"/>
          <w:sz w:val="20"/>
          <w:szCs w:val="20"/>
          <w:lang w:eastAsia="pl-PL"/>
        </w:rPr>
        <w:t>Zamawiający</w:t>
      </w:r>
      <w:r>
        <w:rPr>
          <w:rFonts w:ascii="Century Gothic" w:hAnsi="Century Gothic"/>
          <w:color w:themeColor="text1" w:val="000000"/>
          <w:sz w:val="20"/>
          <w:szCs w:val="20"/>
          <w:lang w:eastAsia="pl-PL"/>
        </w:rPr>
        <w:t xml:space="preserve">”), NIP </w:t>
      </w:r>
      <w:r>
        <w:rPr>
          <w:rFonts w:cs="Times New Roman" w:ascii="Century Gothic" w:hAnsi="Century Gothic"/>
          <w:sz w:val="20"/>
          <w:szCs w:val="20"/>
          <w:lang w:eastAsia="pl-PL"/>
        </w:rPr>
        <w:t>8641815131</w:t>
      </w:r>
      <w:r>
        <w:rPr>
          <w:rFonts w:ascii="Century Gothic" w:hAnsi="Century Gothic"/>
          <w:sz w:val="20"/>
          <w:szCs w:val="20"/>
        </w:rPr>
        <w:t xml:space="preserve">, REGON </w:t>
      </w:r>
      <w:r>
        <w:rPr>
          <w:rFonts w:cs="Arial" w:ascii="Century Gothic" w:hAnsi="Century Gothic"/>
          <w:color w:val="1F1F1F"/>
          <w:sz w:val="20"/>
          <w:szCs w:val="20"/>
          <w:shd w:fill="FFFFFF" w:val="clear"/>
        </w:rPr>
        <w:t>292873730</w:t>
        <w:b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2. Informacje o projekcie </w:t>
      </w:r>
    </w:p>
    <w:p>
      <w:pPr>
        <w:pStyle w:val="Normal"/>
        <w:spacing w:lineRule="auto" w:line="240"/>
        <w:jc w:val="both"/>
        <w:rPr>
          <w:rFonts w:ascii="Century Gothic" w:hAnsi="Century Gothic"/>
          <w:color w:themeColor="text1" w:val="000000"/>
          <w:sz w:val="20"/>
          <w:szCs w:val="20"/>
        </w:rPr>
      </w:pPr>
      <w:r>
        <w:rPr>
          <w:rFonts w:ascii="Century Gothic" w:hAnsi="Century Gothic"/>
          <w:color w:themeColor="text1" w:val="000000"/>
          <w:sz w:val="20"/>
          <w:szCs w:val="20"/>
        </w:rPr>
        <w:t xml:space="preserve">Dotyczy projektu objętego wsparciem w ramach Inwestycji A1.2.1 Inwestycje dla przedsiębiorstw w produkty, usługi i kompetencje pracowników oraz kadry związane z dywersyfikacją działalności, Krajowy Plan Odbudowy i Zwiększania Odporności, </w:t>
      </w:r>
      <w:r>
        <w:rPr>
          <w:rFonts w:cs="Calibri" w:ascii="Century Gothic" w:hAnsi="Century Gothic"/>
          <w:color w:themeColor="text1" w:val="000000"/>
          <w:kern w:val="0"/>
          <w:sz w:val="20"/>
          <w:szCs w:val="20"/>
          <w:lang w:eastAsia="pl-PL"/>
        </w:rPr>
        <w:t>Priorytet Odporność i konkurencyjność gospodarki - część grantowa.</w:t>
      </w:r>
      <w:r>
        <w:rPr>
          <w:rFonts w:ascii="Century Gothic" w:hAnsi="Century Gothic"/>
          <w:color w:themeColor="text1" w:val="000000"/>
          <w:sz w:val="20"/>
          <w:szCs w:val="20"/>
        </w:rPr>
        <w:t xml:space="preserve"> Numer projektu  KPOD.01.03-IW.01-A261/24..pt. Konary Arena – całoroczne centrum sportów, rekreacji oraz kuchni regionalnej, województwo świętokrzyskie. </w:t>
      </w:r>
    </w:p>
    <w:p>
      <w:pPr>
        <w:pStyle w:val="Normal"/>
        <w:spacing w:lineRule="auto" w:line="240"/>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t>Opis przedmiotu zamówienia</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3. Tytuł zamówienia </w:t>
      </w:r>
    </w:p>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cs="Calibri" w:ascii="Century Gothic" w:hAnsi="Century Gothic"/>
          <w:color w:themeColor="text1" w:val="000000"/>
          <w:kern w:val="0"/>
          <w:sz w:val="20"/>
          <w:szCs w:val="20"/>
          <w:lang w:eastAsia="pl-PL"/>
        </w:rPr>
        <w:t xml:space="preserve">3.1. Zapytanie ofertowe (dalej: „Zapytanie”) dotyczy zamówienia pod nazwą:                 </w:t>
      </w:r>
      <w:r>
        <w:rPr>
          <w:rFonts w:cs="Calibri" w:ascii="Century Gothic" w:hAnsi="Century Gothic"/>
          <w:b/>
          <w:color w:themeColor="text1" w:val="000000"/>
          <w:kern w:val="0"/>
          <w:sz w:val="20"/>
          <w:szCs w:val="20"/>
          <w:lang w:eastAsia="pl-PL"/>
        </w:rPr>
        <w:t>„</w:t>
      </w:r>
      <w:r>
        <w:rPr>
          <w:rFonts w:cs="Montserrat-Light" w:ascii="Century Gothic" w:hAnsi="Century Gothic"/>
          <w:b/>
          <w:kern w:val="0"/>
          <w:sz w:val="20"/>
          <w:szCs w:val="20"/>
          <w:lang w:eastAsia="pl-PL"/>
        </w:rPr>
        <w:t>Zakup sprzętu sportowo-rekreacyjnego w celu wdrożenia nowej usługi najmu</w:t>
      </w:r>
      <w:r>
        <w:rPr>
          <w:rFonts w:cs="Calibri" w:ascii="Century Gothic" w:hAnsi="Century Gothic"/>
          <w:b/>
          <w:color w:themeColor="text1" w:val="000000"/>
          <w:kern w:val="0"/>
          <w:sz w:val="20"/>
          <w:szCs w:val="20"/>
          <w:lang w:eastAsia="pl-PL"/>
        </w:rPr>
        <w:t>”</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3.2. Postępowanie prowadzone jest zgodnie z zasadą konkurencyjności, określoną w Wytycznych dotyczących kwalifikowalności wydatków na lata 2021-2027 w wersji obowiązującej w dniu wszczęcia postępowania dla </w:t>
      </w:r>
      <w:r>
        <w:rPr>
          <w:rFonts w:cs="CIDFont+F1" w:ascii="Century Gothic" w:hAnsi="Century Gothic"/>
          <w:color w:themeColor="text1" w:val="000000"/>
          <w:kern w:val="0"/>
          <w:sz w:val="20"/>
          <w:szCs w:val="20"/>
          <w:lang w:eastAsia="pl-PL"/>
        </w:rPr>
        <w:t xml:space="preserve">zamówień o wartości szacunkowej niższej niż kwota 80.000 zł netto.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w:t>
      </w:r>
      <w:r>
        <w:rPr>
          <w:rFonts w:cs="Calibri" w:ascii="Century Gothic" w:hAnsi="Century Gothic"/>
          <w:b/>
          <w:bCs/>
          <w:color w:themeColor="text1" w:val="000000"/>
          <w:kern w:val="0"/>
          <w:sz w:val="20"/>
          <w:szCs w:val="20"/>
          <w:lang w:eastAsia="pl-PL"/>
        </w:rPr>
        <w:t xml:space="preserve">4. Przedmiot zamówienia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4.1. Przedmiotem zamówienia jest zakup sprzętu sportowo-rekreacyjnego.</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w:t>
      </w:r>
      <w:r>
        <w:rPr>
          <w:rFonts w:cs="Calibri" w:ascii="Century Gothic" w:hAnsi="Century Gothic"/>
          <w:color w:themeColor="text1" w:val="000000"/>
          <w:kern w:val="0"/>
          <w:sz w:val="20"/>
          <w:szCs w:val="20"/>
          <w:lang w:eastAsia="pl-PL"/>
        </w:rPr>
        <w:t>Szczegółowy zakres zamówienia:</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tbl>
      <w:tblPr>
        <w:tblStyle w:val="Tabela-Siatka"/>
        <w:tblW w:w="9211" w:type="dxa"/>
        <w:jc w:val="left"/>
        <w:tblInd w:w="221" w:type="dxa"/>
        <w:tblLayout w:type="fixed"/>
        <w:tblCellMar>
          <w:top w:w="0" w:type="dxa"/>
          <w:left w:w="108" w:type="dxa"/>
          <w:bottom w:w="0" w:type="dxa"/>
          <w:right w:w="108" w:type="dxa"/>
        </w:tblCellMar>
        <w:tblLook w:val="04a0"/>
      </w:tblPr>
      <w:tblGrid>
        <w:gridCol w:w="3935"/>
        <w:gridCol w:w="5275"/>
      </w:tblGrid>
      <w:tr>
        <w:trPr/>
        <w:tc>
          <w:tcPr>
            <w:tcW w:w="3935" w:type="dxa"/>
            <w:tcBorders/>
            <w:shd w:color="auto" w:fill="FFE599" w:themeFill="accent4" w:themeFillTint="66" w:val="clear"/>
          </w:tcPr>
          <w:p>
            <w:pPr>
              <w:pStyle w:val="Normal"/>
              <w:widowControl/>
              <w:suppressAutoHyphens w:val="false"/>
              <w:spacing w:lineRule="auto" w:line="240" w:before="0" w:after="0"/>
              <w:jc w:val="center"/>
              <w:textAlignment w:val="auto"/>
              <w:rPr>
                <w:rFonts w:ascii="Century Gothic" w:hAnsi="Century Gothic" w:cs="Montserrat-Light"/>
                <w:b/>
                <w:kern w:val="0"/>
                <w:sz w:val="16"/>
                <w:szCs w:val="16"/>
                <w:lang w:eastAsia="pl-PL"/>
              </w:rPr>
            </w:pPr>
            <w:r>
              <w:rPr>
                <w:rFonts w:eastAsia="Calibri" w:cs="Montserrat-Light" w:ascii="Century Gothic" w:hAnsi="Century Gothic"/>
                <w:b/>
                <w:kern w:val="0"/>
                <w:sz w:val="16"/>
                <w:szCs w:val="16"/>
                <w:lang w:val="pl-PL" w:eastAsia="pl-PL" w:bidi="ar-SA"/>
              </w:rPr>
              <w:t>Nazwa sprzętu:</w:t>
            </w:r>
          </w:p>
        </w:tc>
        <w:tc>
          <w:tcPr>
            <w:tcW w:w="5275" w:type="dxa"/>
            <w:tcBorders/>
            <w:shd w:color="auto" w:fill="FFE599" w:themeFill="accent4" w:themeFillTint="66" w:val="clear"/>
          </w:tcPr>
          <w:p>
            <w:pPr>
              <w:pStyle w:val="Normal"/>
              <w:widowControl/>
              <w:suppressAutoHyphens w:val="false"/>
              <w:spacing w:lineRule="auto" w:line="240" w:before="0" w:after="0"/>
              <w:jc w:val="center"/>
              <w:textAlignment w:val="auto"/>
              <w:rPr>
                <w:rFonts w:ascii="Century Gothic" w:hAnsi="Century Gothic" w:cs="Montserrat-Light"/>
                <w:b/>
                <w:kern w:val="0"/>
                <w:sz w:val="16"/>
                <w:szCs w:val="16"/>
                <w:lang w:eastAsia="pl-PL"/>
              </w:rPr>
            </w:pPr>
            <w:r>
              <w:rPr>
                <w:rFonts w:eastAsia="Calibri" w:cs="Montserrat-Light" w:ascii="Century Gothic" w:hAnsi="Century Gothic"/>
                <w:b/>
                <w:kern w:val="0"/>
                <w:sz w:val="16"/>
                <w:szCs w:val="16"/>
                <w:lang w:val="pl-PL" w:eastAsia="pl-PL" w:bidi="ar-SA"/>
              </w:rPr>
              <w:t>Oczekiwane minimalne parametry techniczne lub równoważne:</w:t>
            </w:r>
          </w:p>
        </w:tc>
      </w:tr>
      <w:tr>
        <w:trPr/>
        <w:tc>
          <w:tcPr>
            <w:tcW w:w="3935" w:type="dxa"/>
            <w:tcBorders/>
          </w:tcPr>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t>Rower elektryczny szt.4</w:t>
            </w:r>
          </w:p>
        </w:tc>
        <w:tc>
          <w:tcPr>
            <w:tcW w:w="5275" w:type="dxa"/>
            <w:tcBorders/>
          </w:tcPr>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t>Napęd 7 biegów</w:t>
            </w:r>
          </w:p>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t>Hamulce V-brake</w:t>
            </w:r>
          </w:p>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t>Bateria 540Wh</w:t>
            </w:r>
          </w:p>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t>Widelec sztywny</w:t>
            </w:r>
          </w:p>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t>Zasięg 110km</w:t>
            </w:r>
          </w:p>
        </w:tc>
      </w:tr>
      <w:tr>
        <w:trPr/>
        <w:tc>
          <w:tcPr>
            <w:tcW w:w="3935" w:type="dxa"/>
            <w:tcBorders/>
          </w:tcPr>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t>Fotelik dla małego dziecka szt.2</w:t>
            </w:r>
          </w:p>
        </w:tc>
        <w:tc>
          <w:tcPr>
            <w:tcW w:w="5275" w:type="dxa"/>
            <w:tcBorders/>
          </w:tcPr>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r>
          </w:p>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r>
          </w:p>
        </w:tc>
      </w:tr>
      <w:tr>
        <w:trPr/>
        <w:tc>
          <w:tcPr>
            <w:tcW w:w="3935" w:type="dxa"/>
            <w:tcBorders/>
          </w:tcPr>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t xml:space="preserve">Przyczepka rowerowa dziecięca szt.1 </w:t>
            </w:r>
          </w:p>
        </w:tc>
        <w:tc>
          <w:tcPr>
            <w:tcW w:w="5275" w:type="dxa"/>
            <w:tcBorders/>
          </w:tcPr>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r>
          </w:p>
          <w:p>
            <w:pPr>
              <w:pStyle w:val="Normal"/>
              <w:widowControl/>
              <w:suppressAutoHyphens w:val="false"/>
              <w:spacing w:lineRule="auto" w:line="240" w:before="0" w:after="0"/>
              <w:jc w:val="both"/>
              <w:textAlignment w:val="auto"/>
              <w:rPr>
                <w:rFonts w:ascii="Century Gothic" w:hAnsi="Century Gothic" w:cs="Montserrat-Light"/>
                <w:b/>
                <w:kern w:val="0"/>
                <w:sz w:val="20"/>
                <w:szCs w:val="20"/>
                <w:lang w:eastAsia="pl-PL"/>
              </w:rPr>
            </w:pPr>
            <w:r>
              <w:rPr>
                <w:rFonts w:eastAsia="Calibri" w:cs="Montserrat-Light" w:ascii="Century Gothic" w:hAnsi="Century Gothic"/>
                <w:b/>
                <w:kern w:val="0"/>
                <w:sz w:val="20"/>
                <w:szCs w:val="20"/>
                <w:lang w:val="pl-PL" w:eastAsia="pl-PL" w:bidi="ar-SA"/>
              </w:rPr>
            </w:r>
          </w:p>
        </w:tc>
      </w:tr>
    </w:tbl>
    <w:p>
      <w:pPr>
        <w:pStyle w:val="Normal"/>
        <w:widowControl/>
        <w:suppressAutoHyphens w:val="false"/>
        <w:spacing w:lineRule="auto" w:line="240" w:before="0" w:after="0"/>
        <w:jc w:val="both"/>
        <w:textAlignment w:val="auto"/>
        <w:rPr>
          <w:rFonts w:ascii="Century Gothic" w:hAnsi="Century Gothic" w:cs="Montserrat-Light"/>
          <w:kern w:val="0"/>
          <w:sz w:val="20"/>
          <w:szCs w:val="20"/>
          <w:lang w:eastAsia="pl-PL"/>
        </w:rPr>
      </w:pPr>
      <w:r>
        <w:rPr>
          <w:rFonts w:cs="Montserrat-Light" w:ascii="Century Gothic" w:hAnsi="Century Gothic"/>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b/>
          <w:kern w:val="0"/>
          <w:sz w:val="20"/>
          <w:szCs w:val="20"/>
          <w:lang w:eastAsia="pl-PL"/>
        </w:rPr>
      </w:pPr>
      <w:r>
        <w:rPr>
          <w:rFonts w:cs="Calibri" w:ascii="Century Gothic" w:hAnsi="Century Gothic"/>
          <w:b/>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b/>
          <w:kern w:val="0"/>
          <w:sz w:val="20"/>
          <w:szCs w:val="20"/>
          <w:lang w:eastAsia="pl-PL"/>
        </w:rPr>
      </w:pPr>
      <w:r>
        <w:rPr>
          <w:rFonts w:cs="Calibri" w:ascii="Century Gothic" w:hAnsi="Century Gothic"/>
          <w:b/>
          <w:kern w:val="0"/>
          <w:sz w:val="20"/>
          <w:szCs w:val="20"/>
          <w:lang w:eastAsia="pl-PL"/>
        </w:rPr>
        <w:t xml:space="preserve">5. Kod CPV </w:t>
      </w:r>
    </w:p>
    <w:p>
      <w:pPr>
        <w:pStyle w:val="Normal"/>
        <w:widowControl/>
        <w:suppressAutoHyphens w:val="false"/>
        <w:spacing w:lineRule="auto" w:line="240" w:before="0" w:after="0"/>
        <w:textAlignment w:val="auto"/>
        <w:rPr>
          <w:rStyle w:val="Strong"/>
          <w:rFonts w:ascii="Century Gothic" w:hAnsi="Century Gothic"/>
          <w:b w:val="false"/>
          <w:sz w:val="20"/>
          <w:szCs w:val="20"/>
        </w:rPr>
      </w:pPr>
      <w:r>
        <w:rPr>
          <w:rFonts w:ascii="Century Gothic" w:hAnsi="Century Gothic"/>
          <w:b w:val="false"/>
          <w:sz w:val="20"/>
          <w:szCs w:val="20"/>
        </w:rPr>
      </w:r>
    </w:p>
    <w:p>
      <w:pPr>
        <w:pStyle w:val="Normal"/>
        <w:widowControl/>
        <w:suppressAutoHyphens w:val="false"/>
        <w:spacing w:lineRule="auto" w:line="240" w:before="0" w:after="0"/>
        <w:textAlignment w:val="auto"/>
        <w:rPr>
          <w:rFonts w:ascii="Century Gothic" w:hAnsi="Century Gothic"/>
          <w:sz w:val="20"/>
          <w:szCs w:val="20"/>
        </w:rPr>
      </w:pPr>
      <w:r>
        <w:rPr>
          <w:rFonts w:ascii="Century Gothic" w:hAnsi="Century Gothic"/>
          <w:sz w:val="20"/>
          <w:szCs w:val="20"/>
        </w:rPr>
        <w:t>34422000-7 Rowery z silnikiem</w:t>
      </w:r>
    </w:p>
    <w:p>
      <w:pPr>
        <w:pStyle w:val="Normal"/>
        <w:widowControl/>
        <w:suppressAutoHyphens w:val="false"/>
        <w:spacing w:lineRule="auto" w:line="240" w:before="0" w:after="0"/>
        <w:textAlignment w:val="auto"/>
        <w:rPr>
          <w:rStyle w:val="hgkelc"/>
          <w:rFonts w:ascii="Century Gothic" w:hAnsi="Century Gothic"/>
          <w:sz w:val="20"/>
          <w:szCs w:val="20"/>
        </w:rPr>
      </w:pPr>
      <w:r>
        <w:rPr>
          <w:rStyle w:val="hgkelc"/>
          <w:rFonts w:ascii="Century Gothic" w:hAnsi="Century Gothic"/>
          <w:bCs/>
          <w:sz w:val="20"/>
          <w:szCs w:val="20"/>
        </w:rPr>
        <w:t>34432000-4</w:t>
      </w:r>
      <w:r>
        <w:rPr>
          <w:rStyle w:val="hgkelc"/>
          <w:rFonts w:ascii="Century Gothic" w:hAnsi="Century Gothic"/>
          <w:sz w:val="20"/>
          <w:szCs w:val="20"/>
        </w:rPr>
        <w:t xml:space="preserve"> Części i akcesoria do rowerów</w:t>
      </w:r>
    </w:p>
    <w:p>
      <w:pPr>
        <w:pStyle w:val="Normal"/>
        <w:widowControl/>
        <w:suppressAutoHyphens w:val="false"/>
        <w:spacing w:lineRule="auto" w:line="240" w:before="0" w:after="0"/>
        <w:textAlignment w:val="auto"/>
        <w:rPr>
          <w:rFonts w:ascii="Century Gothic" w:hAnsi="Century Gothic" w:cs="Calibri"/>
          <w:kern w:val="0"/>
          <w:sz w:val="20"/>
          <w:szCs w:val="20"/>
          <w:lang w:eastAsia="pl-PL"/>
        </w:rPr>
      </w:pPr>
      <w:r>
        <w:rPr>
          <w:rFonts w:cs="Calibri" w:ascii="Century Gothic" w:hAnsi="Century Gothic"/>
          <w:b/>
          <w:bCs/>
          <w:kern w:val="0"/>
          <w:sz w:val="20"/>
          <w:szCs w:val="20"/>
          <w:lang w:eastAsia="pl-PL"/>
        </w:rPr>
        <w:br/>
        <w:t xml:space="preserve">6. Harmonogram (termin) realizacji zamówienia. </w:t>
      </w:r>
    </w:p>
    <w:p>
      <w:pPr>
        <w:pStyle w:val="Normal"/>
        <w:widowControl/>
        <w:suppressAutoHyphens w:val="false"/>
        <w:spacing w:lineRule="auto" w:line="240" w:before="0" w:after="0"/>
        <w:textAlignment w:val="auto"/>
        <w:rPr>
          <w:rFonts w:ascii="Century Gothic" w:hAnsi="Century Gothic" w:cs="Calibri"/>
          <w:kern w:val="0"/>
          <w:sz w:val="20"/>
          <w:szCs w:val="20"/>
          <w:lang w:eastAsia="pl-PL"/>
        </w:rPr>
      </w:pPr>
      <w:r>
        <w:rPr>
          <w:rFonts w:cs="Calibri" w:ascii="Century Gothic" w:hAnsi="Century Gothic"/>
          <w:kern w:val="0"/>
          <w:sz w:val="20"/>
          <w:szCs w:val="20"/>
          <w:lang w:eastAsia="pl-PL"/>
        </w:rPr>
        <w:t xml:space="preserve">Maksymalne terminy realizacji: nie później niż </w:t>
      </w:r>
      <w:r>
        <w:rPr>
          <w:rFonts w:cs="Calibri" w:ascii="Century Gothic" w:hAnsi="Century Gothic"/>
          <w:bCs/>
          <w:kern w:val="0"/>
          <w:sz w:val="20"/>
          <w:szCs w:val="20"/>
          <w:lang w:eastAsia="pl-PL"/>
        </w:rPr>
        <w:t>do dnia 24.10.2025r.</w:t>
      </w:r>
    </w:p>
    <w:p>
      <w:pPr>
        <w:pStyle w:val="Normal"/>
        <w:widowControl/>
        <w:suppressAutoHyphens w:val="false"/>
        <w:spacing w:lineRule="auto" w:line="240" w:before="0" w:after="0"/>
        <w:textAlignment w:val="auto"/>
        <w:rPr>
          <w:rFonts w:ascii="Century Gothic" w:hAnsi="Century Gothic" w:cs="Calibri"/>
          <w:kern w:val="0"/>
          <w:sz w:val="20"/>
          <w:szCs w:val="20"/>
          <w:lang w:eastAsia="pl-PL"/>
        </w:rPr>
      </w:pPr>
      <w:r>
        <w:rPr>
          <w:rFonts w:cs="Calibri" w:ascii="Century Gothic" w:hAnsi="Century Gothic"/>
          <w:b/>
          <w:bCs/>
          <w:kern w:val="0"/>
          <w:sz w:val="20"/>
          <w:szCs w:val="20"/>
          <w:lang w:eastAsia="pl-PL"/>
        </w:rPr>
        <w:br/>
        <w:t xml:space="preserve">7. Warunki udziału w postępowaniu oraz opis sposobu dokonywania oceny ich spełniania </w:t>
      </w:r>
    </w:p>
    <w:p>
      <w:pPr>
        <w:pStyle w:val="Normal"/>
        <w:widowControl/>
        <w:suppressAutoHyphens w:val="false"/>
        <w:spacing w:lineRule="auto" w:line="240" w:before="0" w:after="0"/>
        <w:textAlignment w:val="auto"/>
        <w:rPr>
          <w:rFonts w:ascii="Century Gothic" w:hAnsi="Century Gothic" w:cs="Calibri"/>
          <w:b/>
          <w:bCs/>
          <w:kern w:val="0"/>
          <w:sz w:val="20"/>
          <w:szCs w:val="20"/>
          <w:lang w:eastAsia="pl-PL"/>
        </w:rPr>
      </w:pPr>
      <w:r>
        <w:rPr>
          <w:rFonts w:cs="Calibri" w:ascii="Century Gothic" w:hAnsi="Century Gothic"/>
          <w:b/>
          <w:bCs/>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kern w:val="0"/>
          <w:sz w:val="20"/>
          <w:szCs w:val="20"/>
          <w:lang w:eastAsia="pl-PL"/>
        </w:rPr>
      </w:pPr>
      <w:r>
        <w:rPr>
          <w:rFonts w:cs="Calibri" w:ascii="Century Gothic" w:hAnsi="Century Gothic"/>
          <w:b/>
          <w:bCs/>
          <w:kern w:val="0"/>
          <w:sz w:val="20"/>
          <w:szCs w:val="20"/>
          <w:lang w:eastAsia="pl-PL"/>
        </w:rPr>
        <w:t xml:space="preserve">7.1. Uprawnienia do wykonywania określonej działalności lub czynności </w:t>
      </w:r>
    </w:p>
    <w:p>
      <w:pPr>
        <w:pStyle w:val="Default"/>
        <w:rPr>
          <w:rFonts w:ascii="Century Gothic" w:hAnsi="Century Gothic"/>
          <w:color w:themeColor="text1" w:val="000000"/>
          <w:sz w:val="20"/>
          <w:szCs w:val="20"/>
          <w:lang w:eastAsia="pl-PL"/>
        </w:rPr>
      </w:pPr>
      <w:r>
        <w:rPr>
          <w:rFonts w:ascii="Century Gothic" w:hAnsi="Century Gothic"/>
          <w:color w:val="auto"/>
          <w:sz w:val="20"/>
          <w:szCs w:val="20"/>
          <w:lang w:eastAsia="pl-PL"/>
        </w:rPr>
        <w:t xml:space="preserve">Zamawiający nie precyzuje sposobu oceny spełniania warunku </w:t>
      </w:r>
      <w:r>
        <w:rPr>
          <w:rFonts w:ascii="Century Gothic" w:hAnsi="Century Gothic"/>
          <w:color w:themeColor="text1" w:val="000000"/>
          <w:sz w:val="20"/>
          <w:szCs w:val="20"/>
          <w:lang w:eastAsia="pl-PL"/>
        </w:rPr>
        <w:t xml:space="preserve">w tym zakresie. Warunek </w:t>
      </w:r>
      <w:r>
        <w:rPr>
          <w:rFonts w:eastAsia="SimSun" w:ascii="Century Gothic" w:hAnsi="Century Gothic"/>
          <w:color w:themeColor="text1" w:val="000000"/>
          <w:sz w:val="20"/>
          <w:szCs w:val="20"/>
          <w:lang w:eastAsia="pl-PL"/>
        </w:rPr>
        <w:t xml:space="preserve">zostanie uznany za spełniony, jeśli wykonawca złoży oświadczenie o spełnianiu warunków udziału w postępowaniu, zgodnie ze wzorem stanowiącym Załącznik nr 2 do Zapytania. </w:t>
      </w:r>
      <w:r>
        <w:rPr>
          <w:rFonts w:ascii="Century Gothic" w:hAnsi="Century Gothic"/>
          <w:color w:themeColor="text1" w:val="000000"/>
          <w:sz w:val="20"/>
          <w:szCs w:val="20"/>
          <w:lang w:eastAsia="pl-PL"/>
        </w:rPr>
        <w:t xml:space="preserve">Zamawiający dokona oceny spełniania ww. warunków udziału w postępowaniu na zasadzie „spełnia – nie spełnia” na podstawie przedłożonego przez wykonawcę oświadczenia.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7.2. Wiedza i doświadczenie. </w:t>
      </w:r>
    </w:p>
    <w:p>
      <w:pPr>
        <w:pStyle w:val="Default"/>
        <w:rPr>
          <w:rFonts w:ascii="Century Gothic" w:hAnsi="Century Gothic"/>
          <w:color w:themeColor="text1" w:val="000000"/>
          <w:sz w:val="20"/>
          <w:szCs w:val="20"/>
          <w:lang w:eastAsia="pl-PL"/>
        </w:rPr>
      </w:pPr>
      <w:r>
        <w:rPr>
          <w:rFonts w:ascii="Century Gothic" w:hAnsi="Century Gothic"/>
          <w:color w:themeColor="text1" w:val="000000"/>
          <w:sz w:val="20"/>
          <w:szCs w:val="20"/>
          <w:lang w:eastAsia="pl-PL"/>
        </w:rPr>
        <w:t xml:space="preserve">Zamawiający nie precyzuje sposobu oceny spełniania warunku w tym zakresie. Warunek </w:t>
      </w:r>
      <w:r>
        <w:rPr>
          <w:rFonts w:eastAsia="SimSun" w:ascii="Century Gothic" w:hAnsi="Century Gothic"/>
          <w:color w:themeColor="text1" w:val="000000"/>
          <w:sz w:val="20"/>
          <w:szCs w:val="20"/>
          <w:lang w:eastAsia="pl-PL"/>
        </w:rPr>
        <w:t xml:space="preserve">zostanie uznany za spełniony, jeśli wykonawca złoży oświadczenie o spełnianiu warunków udziału w postępowaniu, zgodnie ze wzorem stanowiącym Załącznik nr 2 do Zapytania. </w:t>
      </w:r>
      <w:r>
        <w:rPr>
          <w:rFonts w:ascii="Century Gothic" w:hAnsi="Century Gothic"/>
          <w:color w:themeColor="text1" w:val="000000"/>
          <w:sz w:val="20"/>
          <w:szCs w:val="20"/>
          <w:lang w:eastAsia="pl-PL"/>
        </w:rPr>
        <w:t xml:space="preserve">Zamawiający dokona oceny spełniania ww. warunków udziału w postępowaniu na zasadzie „spełnia – nie spełnia” na podstawie przedłożonego przez wykonawcę oświadczenia.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7.3 Potencjał techniczny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Zamawiający nie precyzuje sposobu oceny spełniania warunku w tym zakresie. Warunek zostanie uznany za spełniony, jeśli wykonawca złoży oświadczenie o spełnianiu warunków udziału w postępowaniu, zgodnie ze wzorem stanowiącym Załącznik nr 2 do Zapytania. Zamawiający dokona oceny spełniania ww. warunków udziału w postępowaniu na zasadzi „spełnia – nie spełnia” na podstawie przedłożonego przez wykonawcę oświadczenia.</w:t>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7.4 Osoby zdolne do wykonania zamówienia </w:t>
      </w:r>
    </w:p>
    <w:p>
      <w:pPr>
        <w:pStyle w:val="Default"/>
        <w:rPr>
          <w:rFonts w:ascii="Century Gothic" w:hAnsi="Century Gothic"/>
          <w:color w:themeColor="text1" w:val="000000"/>
          <w:sz w:val="20"/>
          <w:szCs w:val="20"/>
          <w:lang w:eastAsia="pl-PL"/>
        </w:rPr>
      </w:pPr>
      <w:r>
        <w:rPr>
          <w:rFonts w:ascii="Century Gothic" w:hAnsi="Century Gothic"/>
          <w:color w:themeColor="text1" w:val="000000"/>
          <w:sz w:val="20"/>
          <w:szCs w:val="20"/>
          <w:lang w:eastAsia="pl-PL"/>
        </w:rPr>
        <w:t xml:space="preserve">Zamawiający nie precyzuje sposobu oceny spełniania warunku w tym zakresie. Warunek </w:t>
      </w:r>
    </w:p>
    <w:p>
      <w:pPr>
        <w:pStyle w:val="Default"/>
        <w:rPr>
          <w:rFonts w:ascii="Century Gothic" w:hAnsi="Century Gothic"/>
          <w:color w:themeColor="text1" w:val="000000"/>
          <w:sz w:val="20"/>
          <w:szCs w:val="20"/>
          <w:lang w:eastAsia="pl-PL"/>
        </w:rPr>
      </w:pPr>
      <w:r>
        <w:rPr>
          <w:rFonts w:eastAsia="SimSun" w:ascii="Century Gothic" w:hAnsi="Century Gothic"/>
          <w:color w:themeColor="text1" w:val="000000"/>
          <w:sz w:val="20"/>
          <w:szCs w:val="20"/>
          <w:lang w:eastAsia="pl-PL"/>
        </w:rPr>
        <w:t xml:space="preserve">zostanie uznany za spełniony, jeśli wykonawca złoży oświadczenie o spełnianiu warunków udziału w postępowaniu, zgodnie ze wzorem stanowiącym Załącznik nr 2 do Zapytania. </w:t>
      </w:r>
      <w:r>
        <w:rPr>
          <w:rFonts w:ascii="Century Gothic" w:hAnsi="Century Gothic"/>
          <w:color w:themeColor="text1" w:val="000000"/>
          <w:sz w:val="20"/>
          <w:szCs w:val="20"/>
          <w:lang w:eastAsia="pl-PL"/>
        </w:rPr>
        <w:t xml:space="preserve">Zamawiający dokona oceny spełniania ww. warunków udziału w postępowaniu na zasadzie „spełnia – nie spełnia” na podstawie przedłożonego przez wykonawcę oświadczenia.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br/>
        <w:t xml:space="preserve">7.5 Sytuacja ekonomiczna i finansowa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Zamawiający nie precyzuje sposobu oceny spełniania warunku w tym zakresie. Warunek zostanie uznany za spełniony, jeśli wykonawca złoży oświadczenie o spełnianiu warunków udziału w postępowaniu zgodnie ze wzorem, stanowiącym Załącznik nr 2 do Zapytania. </w:t>
      </w:r>
    </w:p>
    <w:p>
      <w:pPr>
        <w:pStyle w:val="Default"/>
        <w:rPr>
          <w:rFonts w:ascii="Century Gothic" w:hAnsi="Century Gothic" w:eastAsia="SimSun"/>
          <w:color w:themeColor="text1" w:val="000000"/>
          <w:sz w:val="20"/>
          <w:szCs w:val="20"/>
          <w:lang w:eastAsia="pl-PL"/>
        </w:rPr>
      </w:pPr>
      <w:r>
        <w:rPr>
          <w:rFonts w:ascii="Century Gothic" w:hAnsi="Century Gothic"/>
          <w:color w:themeColor="text1" w:val="000000"/>
          <w:sz w:val="20"/>
          <w:szCs w:val="20"/>
          <w:lang w:eastAsia="pl-PL"/>
        </w:rPr>
        <w:t xml:space="preserve">Zamawiający dokona oceny spełniania ww. warunków udziału w postępowaniu na </w:t>
      </w:r>
      <w:r>
        <w:rPr>
          <w:rFonts w:eastAsia="SimSun" w:ascii="Century Gothic" w:hAnsi="Century Gothic"/>
          <w:color w:themeColor="text1" w:val="000000"/>
          <w:sz w:val="20"/>
          <w:szCs w:val="20"/>
          <w:lang w:eastAsia="pl-PL"/>
        </w:rPr>
        <w:t xml:space="preserve">zasadzie „spełnia – nie spełnia” na podstawie przedłożonego przez wykonawcę oświadczenia.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br/>
        <w:t xml:space="preserve">8. Lista dokumentów/ oświadczeń wymaganych od Wykonawcy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8.1 Wykonawca zobowiązany jest złożyć następujące oświadczenia i dokumenty: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a. Wypełniony i podpisany formularz oferty (zgodnie ze wzorem stanowiącym Załącznik nr 1 do Zapytania);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b. Oświadczenie wykonawcy o spełnianiu warunków udziału w postępowaniu i braku podstaw do wykluczenia (zgodnie ze wzorem stanowiącym Załącznik nr 2 do Zapytania),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8.2 Wykonawca powinien również przekazać Zamawiającemu podpisane oświadczenie dotyczące przetwarzania danych osobowych (wzór oświadczenia stanowi Załącznik nr 3 do Zapytania).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8.3 Postępowanie jest prowadzone w języku polskim, w związku z tym wszelkie oświadczenia, dokumenty, zawiadomienia, zapytania i oferty itp. muszą być składane w języku polskim lub z tłumaczeniem na język polski.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8.4 Ofertę (pkt 12.1 lit. a) wraz z załącznikami wymienionymi w pkt 12.1 lit. b, c, e i lit. f powyżej należy sporządzić w formie pisemnej pod rygorem nieważności i złożyć w oryginale (rozumianego jako skan dokumentów i oświadczeń sporządzonych uprzednio w formie pisemnej albo w formie dokumentu elektronicznego podpisanego kwalifikowanym podpisem elektronicznym). Dokumenty wymienione w pkt 12.1. lit. d należy złożyć w oryginale lub kopii poświadczonej za zgodność z oryginałem przez wykonawcę (rozumianego jako skan dokumentów i oświadczeń sporządzonych uprzednio w formie określonej w przedmiotowym zdaniu). Dokument pełnomocnictwa, o którym mowa w pkt 12.1. lit. g powyżej należy złożyć w oryginale lub kopii poświadczonej za zgodność z oryginałem przez osobę/-y uprawnione do reprezentacji.</w:t>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Kryteria oceny ofert, informacja o wagach punktowych lub procentowych przypisanych do poszczególnych kryteriów oceny oferty, opis sposobu przyznawania punktacji za spełnienie danego kryterium oceny. Ocena i badanie ofert.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9. Kryteria oceny ofert. Informacja o wagach punktowych lub procentowych przypisanych do poszczególnych kryteriów oceny oferty, opis sposobu przyznawania punktacji za spełnienie danego kryterium oceny.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CENA 100%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9.1 Wybór najkorzystniejszej oferty nastąpi spośród ofert niepodlegających odrzuceniu w oparciu o następujące kryterium i przypisane wagi: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a. Kryterium 1 - Cena brutto za całość zamówienia (K1)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Waga kryterium 1: 100 %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Liczba punktów, którą uzyska oferta badana w ramach ww. kryterium (K1), obliczona zostanie z zastosowaniem następującego wzoru</w:t>
      </w:r>
      <w:r>
        <w:rPr>
          <w:rFonts w:cs="Calibri" w:ascii="Century Gothic" w:hAnsi="Century Gothic"/>
          <w:b/>
          <w:bCs/>
          <w:color w:themeColor="text1" w:val="000000"/>
          <w:kern w:val="0"/>
          <w:sz w:val="20"/>
          <w:szCs w:val="20"/>
          <w:lang w:eastAsia="pl-PL"/>
        </w:rPr>
        <w:t xml:space="preserve">: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K1 = (cena oferty brutto za całość zamówienia z najniższą ceną/ cena brutto za całość zamówienia oferty badanej) x 100 pkt x 100 %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Maksymalna liczba punktów, jakie może otrzymać oferta badana w Kryterium – Cena za całość zamówienia wynosi 100 punktów.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9.2 Za najkorzystniejszą zostanie uznana ta oferta, która otrzyma najwyższą liczbę punktów.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9.3 Jeżeli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 złożonych ofertach.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ascii="Century Gothic" w:hAnsi="Century Gothic"/>
          <w:color w:themeColor="text1" w:val="000000"/>
          <w:kern w:val="0"/>
          <w:sz w:val="20"/>
          <w:szCs w:val="20"/>
          <w:lang w:eastAsia="pl-PL"/>
        </w:rPr>
        <w:t>9.4 Zamawiający zastrzega sobie prawo negocjacji ceny z Wykonawcą, którego oferta uzyskała najwyższą liczbę punktów, w przypadku, gdy cena zaoferowana przez Wykonawcę z najkorzystniejszą ofertą przekracza kwotę przeznaczoną przez Zamawiającego na realizację zamówienia. W przypadku zmiany ostatecznej oferty, fakt zostanie potwierdzony obustronnie podpisanym protokołem z negocjacji.</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10. Sposób obliczenia ceny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10.1. Na potrzeby oceny ofert wykonawca powinien wskazać: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10.2. Cenę netto oraz brutto wraz ze wskazaniem stawki podatku VAT za wykonanie Przedmiotu zamówienia na warunkach określonych w Zapytaniu wraz z załącznikami w złotych.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10.3. W celu prawidłowego obliczenia ceny oferty należy w Formularzu ofertowym (Załącznik nr 1): Wpisać cenę netto oraz brutto za wykonanie przedmiotu zamówienia na warunkach określonych w Zapytaniu wraz z załącznikami.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10.4. Zaoferowana cena uwzględnia wszelkie daniny publiczne oraz obligatoryjne składki na ubezpieczenia społeczne oraz ubezpieczenie zdrowotne zgodnie z przepisami prawa powszechnie obowiązującego, podatek VAT – jeśli dotyczy, a także wszystkie wymagania zawarte w Zapytaniu i załącznikach do niego oraz koszty, jakie wykonawca poniesie w związku z ich realizacją. </w:t>
      </w:r>
    </w:p>
    <w:p>
      <w:pPr>
        <w:pStyle w:val="Default"/>
        <w:rPr>
          <w:rFonts w:ascii="Century Gothic" w:hAnsi="Century Gothic" w:eastAsia="SimSun"/>
          <w:color w:themeColor="text1" w:val="000000"/>
          <w:sz w:val="20"/>
          <w:szCs w:val="20"/>
          <w:lang w:eastAsia="pl-PL"/>
        </w:rPr>
      </w:pPr>
      <w:r>
        <w:rPr>
          <w:rFonts w:ascii="Century Gothic" w:hAnsi="Century Gothic"/>
          <w:color w:themeColor="text1" w:val="000000"/>
          <w:sz w:val="20"/>
          <w:szCs w:val="20"/>
          <w:lang w:eastAsia="pl-PL"/>
        </w:rPr>
        <w:t xml:space="preserve">10.5. Cenę netto oraz brutto za wykonanie przedmiotu zamówienia na warunkach określonych </w:t>
      </w:r>
      <w:r>
        <w:rPr>
          <w:rFonts w:eastAsia="SimSun" w:ascii="Century Gothic" w:hAnsi="Century Gothic"/>
          <w:color w:themeColor="text1" w:val="000000"/>
          <w:sz w:val="20"/>
          <w:szCs w:val="20"/>
          <w:lang w:eastAsia="pl-PL"/>
        </w:rPr>
        <w:t xml:space="preserve">w Zapytaniu wraz z załącznikami należy podać w złotych polskich z dokładnością do dwóch miejsc po przecinku. Rozliczenia pomiędzy Zamawiającym a wykonawcą prowadzone będą w złotych polskich.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10.6.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zdaniu poprzednim, wykonawca ma obowiązek: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a. poinformowania zamawiającego, że wybór jego oferty będzie prowadził do powstania u zamawiającego obowiązku podatkowego;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b. wskazania nazwy (rodzaju) towaru lub usługi, których dostawa lub świadczenie będą prowadziły do powstania obowiązku podatkowego;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c. wskazania wartości towaru lub usługi objętego obowiązkiem podatkowym zamawiającego, bez kwoty podatku; </w:t>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d. wskazania stawki podatku od towarów i usług, która zgodnie z wiedzą wykonawcy, będzie miała zastosowanie.</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Termin składania ofert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11. Termin składania ofert. Otwarcie ofert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11.1. Ofertę należy złożyć w nieprzekraczalnym terminie: </w:t>
      </w:r>
      <w:r>
        <w:rPr>
          <w:rFonts w:cs="Calibri" w:ascii="Century Gothic" w:hAnsi="Century Gothic"/>
          <w:b/>
          <w:bCs/>
          <w:color w:themeColor="text1" w:val="000000"/>
          <w:kern w:val="0"/>
          <w:sz w:val="20"/>
          <w:szCs w:val="20"/>
          <w:lang w:eastAsia="pl-PL"/>
        </w:rPr>
        <w:t xml:space="preserve">24.09.2025 r.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11.2. Oferta zostanie uznana za złożoną w dniu i godzinie jej wpływu na skrzynkę pocztową Zamawiającego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11.3. Otwarcie ofert nastąpi po upływie terminu składania ofert określonym w Zapytaniu.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11.4. Otwarcie ofert będzie miało charakter niejawny.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12. Miejsce i sposób składania ofert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12.1. Oferty należy składać: w formie elektronicznej na skrzynkę pocztową Zamawiającego tj. </w:t>
      </w:r>
      <w:r>
        <w:rPr>
          <w:rFonts w:ascii="Century Gothic" w:hAnsi="Century Gothic"/>
          <w:color w:themeColor="text1" w:val="000000"/>
          <w:sz w:val="20"/>
          <w:szCs w:val="20"/>
        </w:rPr>
        <w:t>instaljar@wp.pl lub dostarczyć do siedziby firmy.</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12.2. Komunikacja w postępowaniu o udzielenie zamówienia, w tym ogłoszenie zapytania ofertowego, składanie ofert, wymiana informacji między zamawiającym a wykonawcą oraz przekazywanie dokumentów i oświadczeń odbywa się pisemnie za pomocą poczty elektronicznej. </w:t>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13. Osoba do kontaktu w sprawie ogłoszenia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Imię i nazwisko: Ireneusz Jarosz</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E-mail: </w:t>
      </w:r>
      <w:r>
        <w:rPr>
          <w:rFonts w:ascii="Century Gothic" w:hAnsi="Century Gothic"/>
          <w:color w:themeColor="text1" w:val="000000"/>
          <w:sz w:val="20"/>
          <w:szCs w:val="20"/>
        </w:rPr>
        <w:t>instaljar@wp.pl</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Telefon: </w:t>
      </w:r>
      <w:r>
        <w:rPr>
          <w:rFonts w:ascii="Century Gothic" w:hAnsi="Century Gothic"/>
          <w:color w:themeColor="text1" w:val="000000"/>
          <w:sz w:val="20"/>
          <w:szCs w:val="20"/>
        </w:rPr>
        <w:t>509692702</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14. Termin związania ofertą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14.1. Wykonawca będzie związany ofertą w terminie 30 dni.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14.2. Bieg terminu związania ofertą rozpoczyna się wraz z upływem terminu składania ofert.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14.3. Wykonawca samodzielnie lub na wniosek Zamawiającego może przedłużyć termin związania ofertą.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15. Badanie oferty. </w:t>
      </w:r>
    </w:p>
    <w:p>
      <w:pPr>
        <w:pStyle w:val="Normal"/>
        <w:spacing w:lineRule="auto" w:line="240"/>
        <w:rPr>
          <w:rFonts w:ascii="Century Gothic" w:hAnsi="Century Gothic"/>
          <w:color w:themeColor="text1" w:val="000000"/>
          <w:sz w:val="20"/>
          <w:szCs w:val="20"/>
        </w:rPr>
      </w:pPr>
      <w:r>
        <w:rPr>
          <w:rFonts w:ascii="Century Gothic" w:hAnsi="Century Gothic"/>
          <w:color w:themeColor="text1" w:val="000000"/>
          <w:sz w:val="20"/>
          <w:szCs w:val="20"/>
        </w:rPr>
        <w:t xml:space="preserve">15.1. W toku dokonywania badania i oceny złożonych ofert Zamawiający może żądać od wykonawców wyjaśnień dotyczących złożonych przez nich ofert. Zamawiający może wezwać Wykonawców, którzy w określonym terminie nie złożyli wymaganych przez Zamawiającego oświadczeń lub dokumentów, lub którzy nie złożyli pełnomocnictw, albo którzy złożyli wymagane przez Zamawiającego oświadczenia i dokumenty, zawierające błędy, omyłki pisarskie bądź rachunkowe lub nie potwierdzające spełnienia przez Wykonawcę warunków udziału w postępowaniu lub którzy złożyli wadliwe pełnomocnictwa, do ich złożenia w wyznaczonym terminie, chyba że mimo ich złożenia oferta podlega odrzuceniu albo konieczne byłoby unieważnienie postępowania. </w:t>
      </w:r>
    </w:p>
    <w:p>
      <w:pPr>
        <w:pStyle w:val="Normal"/>
        <w:spacing w:lineRule="auto" w:line="240"/>
        <w:rPr>
          <w:rFonts w:ascii="Century Gothic" w:hAnsi="Century Gothic"/>
          <w:color w:themeColor="text1" w:val="000000"/>
          <w:sz w:val="20"/>
          <w:szCs w:val="20"/>
        </w:rPr>
      </w:pPr>
      <w:r>
        <w:rPr>
          <w:rFonts w:ascii="Century Gothic" w:hAnsi="Century Gothic"/>
          <w:color w:themeColor="text1" w:val="000000"/>
          <w:sz w:val="20"/>
          <w:szCs w:val="20"/>
        </w:rPr>
        <w:t>15.2. 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w:t>
      </w:r>
    </w:p>
    <w:p>
      <w:pPr>
        <w:pStyle w:val="Normal"/>
        <w:spacing w:lineRule="auto" w:line="240"/>
        <w:rPr>
          <w:rFonts w:ascii="Century Gothic" w:hAnsi="Century Gothic"/>
          <w:color w:themeColor="text1" w:val="000000"/>
          <w:sz w:val="20"/>
          <w:szCs w:val="20"/>
        </w:rPr>
      </w:pPr>
      <w:r>
        <w:rPr>
          <w:rFonts w:ascii="Century Gothic" w:hAnsi="Century Gothic"/>
          <w:color w:themeColor="text1" w:val="000000"/>
          <w:sz w:val="20"/>
          <w:szCs w:val="20"/>
        </w:rPr>
        <w:t>15.3. Zamawiający poprawi w ofercie oczywiste omyłki pisarskie, oczywiste omyłki rachunkowe z uwzględnieniem konsekwencji rachunkowych dokonanych poprawek, niepowodujące istotnych zmian w treści oferty – niezwłocznie zawiadamiając o tym wykonawcę, którego oferta została poprawiona.</w:t>
      </w:r>
    </w:p>
    <w:p>
      <w:pPr>
        <w:pStyle w:val="Normal"/>
        <w:widowControl/>
        <w:numPr>
          <w:ilvl w:val="1"/>
          <w:numId w:val="3"/>
        </w:numPr>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16. Odrzucenie oferty. </w:t>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16.1. Zamawiający odrzuci ofertę, jeżeli:</w:t>
        <w:br/>
        <w:t xml:space="preserve">- została złożona po wyznaczonym terminie; </w:t>
        <w:br/>
        <w:t>- została złożona w niewłaściwej formie lub w niewłaściwy sposób</w:t>
        <w:br/>
        <w:t xml:space="preserve">- jej złożenie stanowi czyn nieuczciwej konkurencji w rozumieniu przepisów o zwalczaniu nieuczciwej konkurencji; </w:t>
        <w:br/>
        <w:t xml:space="preserve">- do oferty nie załączono wszystkich wymaganych dokumentów przewidzianych w Zapytaniu ofertowym; </w:t>
        <w:br/>
        <w:t xml:space="preserve">- jest niezgodna z wymaganiami określonymi w Zapytaniu ofertowym; </w:t>
        <w:br/>
        <w:t xml:space="preserve">- jest niezgodna z obowiązującymi przepisami prawa; </w:t>
        <w:br/>
        <w:t xml:space="preserve">- jest niekompletna lub nie będzie zawierała wszystkich wymaganych przez Zamawiającego dokumentów lub oświadczeń, </w:t>
        <w:br/>
        <w:t xml:space="preserve">- wykonawca nie spełnia warunków udziału w postępowaniu </w:t>
        <w:br/>
        <w:t xml:space="preserve">- oferta zawiera rażąco niska cenę. Cenę uznaje się za rażąco niską, jeżeli jest niższa o co najmniej 30% od szacowanej wartości zamówienia lub średniej arytmetycznej cen wszystkich złożonych ofert. W takiej sytuacji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 </w:t>
        <w:br/>
        <w:t>16.2. Oferta odrzucona nie będzie uwzględniania przy ocenie ofert.</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Informacja na temat zakazu powiązań osobowych lub kapitałowych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17. Wykluczenie z postępowania.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17.1. Z udziału w postępowaniu Zamawiający wykluczy wykonawcę, w stosunku do którego zachodzi co najmniej jedna z niżej wskazanych okoliczności: </w:t>
      </w:r>
    </w:p>
    <w:p>
      <w:pPr>
        <w:pStyle w:val="Normal"/>
        <w:widowControl/>
        <w:suppressAutoHyphens w:val="false"/>
        <w:spacing w:lineRule="auto" w:line="240" w:before="0" w:after="58"/>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jest powiązany z Zamawiającym kapitałowo lub osobowo uczestniczeniu w spółce jako wspólnik spółki cywilnej lub spółki osobowej, </w:t>
      </w:r>
    </w:p>
    <w:p>
      <w:pPr>
        <w:pStyle w:val="Normal"/>
        <w:widowControl/>
        <w:suppressAutoHyphens w:val="false"/>
        <w:spacing w:lineRule="auto" w:line="240" w:before="0" w:after="58"/>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posiadaniu co najmniej 10% udziałów lub akcji, o ile niższy próg nie wynika z przepisów prawa lub nie został określony przez IZ PO, </w:t>
      </w:r>
    </w:p>
    <w:p>
      <w:pPr>
        <w:pStyle w:val="Normal"/>
        <w:widowControl/>
        <w:suppressAutoHyphens w:val="false"/>
        <w:spacing w:lineRule="auto" w:line="240" w:before="0" w:after="58"/>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pełnieniu funkcji członka organu nadzorczego lub zarządzającego, prokurenta, pełnomocnika, </w:t>
      </w:r>
    </w:p>
    <w:p>
      <w:pPr>
        <w:pStyle w:val="Normal"/>
        <w:widowControl/>
        <w:suppressAutoHyphens w:val="false"/>
        <w:spacing w:lineRule="auto" w:line="240" w:before="0" w:after="58"/>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pozostawaniu z wykonawcą w takim stosunku prawnym lub faktycznym, że istnieje uzasadniona wątpliwość co do ich bezstronności lub niezależności w związku z postępowaniem o udzielenie zamówienia, </w:t>
      </w:r>
    </w:p>
    <w:p>
      <w:pPr>
        <w:pStyle w:val="Normal"/>
        <w:widowControl/>
        <w:numPr>
          <w:ilvl w:val="1"/>
          <w:numId w:val="4"/>
        </w:numPr>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uczestniczeniu w spółce jako wspólnik spółki cywilnej lub spółki osobowej, </w:t>
      </w:r>
    </w:p>
    <w:p>
      <w:pPr>
        <w:pStyle w:val="Normal"/>
        <w:widowControl/>
        <w:suppressAutoHyphens w:val="false"/>
        <w:spacing w:lineRule="auto" w:line="240" w:before="0" w:after="58"/>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posiadaniu co najmniej 10% udziałów lub akcji, o ile niższy próg nie wynika z przepisów prawa lub nie został określony przez IZ PO, </w:t>
      </w:r>
    </w:p>
    <w:p>
      <w:pPr>
        <w:pStyle w:val="Normal"/>
        <w:widowControl/>
        <w:suppressAutoHyphens w:val="false"/>
        <w:spacing w:lineRule="auto" w:line="240" w:before="0" w:after="58"/>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pełnieniu funkcji członka organu nadzorczego lub zarządzającego, prokurenta, pełnomocnika, </w:t>
      </w:r>
    </w:p>
    <w:p>
      <w:pPr>
        <w:pStyle w:val="Normal"/>
        <w:widowControl/>
        <w:suppressAutoHyphens w:val="false"/>
        <w:spacing w:lineRule="auto" w:line="240" w:before="0" w:after="58"/>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pozostawaniu z wykonawcą w takim stosunku prawnym lub faktycznym, że istnieje uzasadniona wątpliwość co do ich bezstronności lub niezależności w związku z postępowaniem o udzielenie zamówienia,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nie wykazał spełniania warunków udziału w postępowaniu lub braku podstaw do wykluczenia określonych w Zapytaniu. </w:t>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17.2. Oferta wykonawcy wykluczonego z udziału w postępowaniu uważana jest za odrzuconą i nie podlega badaniu i ocenie.</w:t>
      </w:r>
    </w:p>
    <w:p>
      <w:pPr>
        <w:pStyle w:val="Normal"/>
        <w:spacing w:lineRule="auto" w:line="240"/>
        <w:rPr>
          <w:rFonts w:ascii="Century Gothic" w:hAnsi="Century Gothic"/>
          <w:b/>
          <w:bCs/>
          <w:color w:themeColor="text1" w:val="000000"/>
          <w:sz w:val="20"/>
          <w:szCs w:val="20"/>
        </w:rPr>
      </w:pPr>
      <w:r>
        <w:rPr>
          <w:rFonts w:ascii="Century Gothic" w:hAnsi="Century Gothic"/>
          <w:b/>
          <w:bCs/>
          <w:color w:themeColor="text1" w:val="000000"/>
          <w:sz w:val="20"/>
          <w:szCs w:val="20"/>
        </w:rPr>
        <w:t>Określenie warunków istotnych zmian umowy zawartej w wyniku przeprowadzonego postępowania o udzielenie zamówienia</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18. Zawarcie umowy w sprawie zamówienia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18.1. Z wykonawcą, którego oferta została wybrana jako oferta najkorzystniejsza, zostanie podpisana umowa w terminie i miejscu wskazanym przez Zamawiającego.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18.2. W przypadku, gdy wybrany wykonawca odstąpi od podpisania umowy z Zamawiającym, Zamawiający będzie miał prawo do podpisania umowy z kolejnym wykonawcą, który w postępowaniu uzyskał kolejną najwyższą liczbę punktów.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18.3. Zamawiający przewiduje możliwość wprowadzenia istotnych zmian w treści umowy w sprawie zamówienia na warunkach określonych poniżej.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18.4. Zamawiający przewiduje możliwość wprowadzenia istotnych zmian w treści umowy w sprawie zamówienia w przypadkach: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a. zmiana osoby wyznaczonej do realizacji zamówienia, w szczególności w przypadku niezdolności minimum 1 z wyznaczonych osób do świadczenia dostawy z jakiejkolwiek przyczyny jeżeli nowe osoby również będą spełniały wymagania określone w warunku udziału w postępowaniu w zakresie dysponowania osobami zdolnymi do wykonania zamówienia;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b. przesunięcia terminu wykonania przedmiotu zamówienia, jeżeli z przyczyn od wykonawcy niezależnych, których nie można było przewidzieć w chwili zawarcia umowy, nie jest możliwe dotrzymanie pierwotnego terminu; w takim przypadku termin może zostać przesunięty o czas trwania przyczyn od wykonawcy niezależnych, których nie można było przewidzieć w chwili zawarcia umowy oraz o czas trwania ich następstw;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c. 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 </w:t>
      </w:r>
    </w:p>
    <w:p>
      <w:pPr>
        <w:pStyle w:val="Normal"/>
        <w:spacing w:lineRule="auto" w:line="240"/>
        <w:jc w:val="both"/>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spacing w:lineRule="auto" w:line="240"/>
        <w:jc w:val="both"/>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d. powstania nadzwyczajnych okoliczności (nie będących "siłą wyższą"), grożących rażącą stratą w związku z wykonaniem przedmiotu zamówienia, niezależnych od Zamawiającego i wykonawcy, których nie przewidzieli oni przy zawarciu umowy; w takim przypadku Zamawiający i wykonawca mogą określić zmieniony sposób osiągnięcia rezultatu będącego przedmiotem danego świadczenia wchodzącego w zakres przedmiotu umowy celem uniknięcia rażącej straty przy wykonaniu przedmiotu umowy;</w:t>
      </w:r>
    </w:p>
    <w:p>
      <w:pPr>
        <w:pStyle w:val="Normal"/>
        <w:spacing w:lineRule="auto" w:line="240"/>
        <w:jc w:val="both"/>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e. wprowadzenia lub zmiany regulacji prawnych lub regulacji dotyczących zasad dofinansowania projektu ze środków Unii Europejskiej wprowadzonych w życie po dniu zawarcia umowy; w takim przypadku Zamawiający i wykonawca mogą określić zmieniony sposób osiągnięcia rezultatu będącego przedmiotem danego świadczenia wchodzącego w zakres przedmiotu zamówienia celem dostosowania go do zmienionego stanu prawnego; </w:t>
        <w:br/>
      </w:r>
    </w:p>
    <w:p>
      <w:pPr>
        <w:pStyle w:val="Normal"/>
        <w:spacing w:lineRule="auto" w:line="240"/>
        <w:jc w:val="both"/>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f. zaistnienia, po zawarciu umowy, przypadku siły wyższej, przez którą, na potrzeby niniejszego warunku, rozumieć należy jako zdarzenie zewnętrzne wobec łączącego Zamawiającego i wykonawcę stosunku prawnego: (i) o charakterze od nich niezależnym, (ii) którego nie mogli przewidzieć przed zawarciem umowy, (iii) którego nie można uniknąć, ani któremu nie mogli zapobiec przy zachowaniu należytej staranności, (iv) której nie można przypisać Zamawiającemu lub wykonawcy.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W takim przypadku termin wykonania przedmiotu umowy może zostać przesunięty o czas trwania siły wyższej oraz czas trwania jej następstw. W takim przypadku Zamawiający i wykonawca mogą również określić zmieniony sposób osiągnięcia rezultatu będącego przedmiotem danego świadczenia wchodzącego w zakres przedmiotu umowy celem dostosowania go do skutków wystąpienia siły wyższej.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g. Zmiana wynagrodzenia wykonawcy, będzie możliwa w przypadku: (i) zmiany obowiązującej stawki podatku VAT (jeżeli w trakcie realizacji umowy nastąpi zmiana stawki dla towarów objętych zamówieniem, a wykonawca zaoferował cenę uwzględniającą podatek VAT, wynagrodzenie brutto zostanie zmniejszone lub zwiększone o kwotę równą różnicy zmiany stawki podatku – dotyczy to części wynagrodzenia za towary, których w dniu zmiany stawki podatku VAT jeszcze nie dokonano), (ii)zmiany wysokości minimalnego wynagrodzenia za pracę ustalonego na podstawie ustawy z dnia 10 października 2002 r. o minimalnym wynagrodzenia za pracę, (iii) zmiany zasad podlegania ubezpieczeniom społecznym lub ubezpieczeniu zdrowotnemu lub wysokości stawki składki na ubezpieczenie społeczne lub zdrowotne, jeżeli zmiany te będą miały wpływ na koszty wykonania zamówienia przez wykonawcę.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Zmiany, o których mowa powyżej, mogą zostać dokonane ze skutkiem nie wcześniej, niż na dzień wejścia w życie przepisów, z których wynikają ww. zmiany. W przypadku zmian, o których mowa powyżej,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h. nie leżących po stronie Wykonawcy, gdy wykonywania zamówienia nie było możliwe lub wykonawca miał w istotny sposób utrudnione możliwości w spełnieniu świadczenia. Wykonawca może zwrócić się do Zamawiającego z uzasadnionym wnioskiem o przedłużenie terminu wykonania zamówienia</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br/>
        <w:t xml:space="preserve">i. zaistnienia okoliczności lezących po stronie Zamawiającego, w szczególności spowodowanych sytuacją finansową, zdolnościami płatniczymi, kwestiami organizacyjnymi, które nie były możliwe do przewidzenia w chwili zawarcia umowy.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br/>
        <w:t xml:space="preserve">j. zmiany zasad płatności wynagrodzenia Wykonawcy, gdy konieczność wprowadzania zmian będzie następstwem postanowień innych umów mających związek z umową dotyczącą niniejszego postępowania a konieczność wprowadzenia zmian wynika z okoliczności, których nie można było przewidzieć w chwili zawarcia umowy,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br/>
        <w:t xml:space="preserve">k. Zamawiający przewiduje również możliwość wprowadzenia zmian treści umowy w przypadkach dozwolonych zgodnie z </w:t>
      </w:r>
      <w:r>
        <w:rPr>
          <w:rFonts w:cs="Calibri" w:ascii="Century Gothic" w:hAnsi="Century Gothic"/>
          <w:i/>
          <w:iCs/>
          <w:color w:themeColor="text1" w:val="000000"/>
          <w:kern w:val="0"/>
          <w:sz w:val="20"/>
          <w:szCs w:val="20"/>
          <w:lang w:eastAsia="pl-PL"/>
        </w:rPr>
        <w:t xml:space="preserve">Wytycznymi w zakresie kwalifikowalności wydatków na lata 2021-2027 </w:t>
      </w:r>
      <w:r>
        <w:rPr>
          <w:rFonts w:cs="Calibri" w:ascii="Century Gothic" w:hAnsi="Century Gothic"/>
          <w:color w:themeColor="text1" w:val="000000"/>
          <w:kern w:val="0"/>
          <w:sz w:val="20"/>
          <w:szCs w:val="20"/>
          <w:lang w:eastAsia="pl-PL"/>
        </w:rPr>
        <w:t xml:space="preserve">zatwierdzonymi przez Ministra Funduszy i Polityki regionalnej z dnia 18 listopada 2022. </w:t>
      </w:r>
    </w:p>
    <w:p>
      <w:pPr>
        <w:pStyle w:val="Normal"/>
        <w:widowControl/>
        <w:suppressAutoHyphens w:val="false"/>
        <w:spacing w:lineRule="auto" w:line="240" w:before="0" w:after="0"/>
        <w:jc w:val="both"/>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18.5. Wszystkie postanowienia pkt 18.4. stanowią katalog zmian, na które Zamawiający może wyrazić zgodę. Nie stanowią jednocześnie zobowiązania do wyrażenia takiej zgody.</w:t>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Dodatkowe warunki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19. Wyjaśnianie treści Zapytania. Zmiana Zapytania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19.1. Wykonawca może zwrócić się do Zamawiającego o wyjaśnienie treści Zapytania, poprzez wysłanie pytania/pytań</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19.2. Zamawiający udzieli wyjaśnień niezwłocznie, pod warunkiem, że wniosek o wyjaśnienie treści Zapytania wpłynie do Zamawiającego w terminie umożliwiającym udzielenie odpowiedzi przed upływem terminu składania ofert.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19.3. Zamawiający może dokonać zmiany treści Zapytania, w tym Załączników do Zapytania, w każdym czasie przed upływem terminu składania ofert.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19.4. Dokonaną zmianę Zapytania Zamawiający uwzględni w opublikowanym Zapytaniu.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19.5. Jeżeli będzie to konieczne z uwagi na zakres wprowadzonych zmian, Zamawiający przedłuży termin składania ofert o czas niezbędny do wprowadzenia zmian w ofertach.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20. Unieważnienie postępowania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20.1. Zamawiający zastrzega sobie prawo do unieważnienia postępowania (zamknięcia bez wyboru oferty) na każdym etapie postępowania, również po wyborze oferty, bez podania przyczyny. W przypadku unieważnienia postępowania wykonawcy nie będą przysługiwać żadne roszczenia względem Zamawiającego.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21. Informacja o wyniku postępowania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21.1. Informację o wyniku postępowania Zamawiający opublikuje w ten sam sposób, w jaki opublikowane zostało Zapytanie.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22. Wadium i zabezpieczenie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22.1. Zamawiający nie wymaga wniesienia wadium.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22.2. Zamawiający nie wymaga wniesienia zabezpieczenia należytego wykonania umowy.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23. Oferty częściowe. Ofert Wariantowe. </w:t>
      </w:r>
    </w:p>
    <w:p>
      <w:pPr>
        <w:pStyle w:val="Normal"/>
        <w:spacing w:lineRule="auto" w:line="240"/>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23.1. Wykonawca może złożyć tylko jedną ofertę. W przypadku złożenia przez Wykonawcę więcej niż jednej oferty Zamawiający uznaje za ważną tę ostatnią.</w:t>
        <w:br/>
        <w:t xml:space="preserve">23.2. Nie dopuszcza się składania ofert częściowych. </w:t>
        <w:br/>
        <w:t xml:space="preserve">23.3. Nie dopuszcza się składania ofert wariantowych.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24. Zamówienia uzupełniające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24.1. Zamawiający nie przewiduje udzielania zamówień uzupełniających (podobnych).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Postanowienia dotyczące danych osobowych </w:t>
      </w:r>
    </w:p>
    <w:p>
      <w:pPr>
        <w:pStyle w:val="Normal"/>
        <w:widowControl/>
        <w:suppressAutoHyphens w:val="false"/>
        <w:spacing w:lineRule="auto" w:line="240" w:before="0" w:after="0"/>
        <w:textAlignment w:val="auto"/>
        <w:rPr>
          <w:rFonts w:ascii="Century Gothic" w:hAnsi="Century Gothic" w:cs="Calibri"/>
          <w:b/>
          <w:bCs/>
          <w:color w:themeColor="text1" w:val="000000"/>
          <w:kern w:val="0"/>
          <w:sz w:val="20"/>
          <w:szCs w:val="20"/>
          <w:lang w:eastAsia="pl-PL"/>
        </w:rPr>
      </w:pPr>
      <w:r>
        <w:rPr>
          <w:rFonts w:cs="Calibri" w:ascii="Century Gothic" w:hAnsi="Century Gothic"/>
          <w:b/>
          <w:bCs/>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25. Postanowienia w zakresie przetwarzania danych osobowych. </w:t>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25.1.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pPr>
        <w:pStyle w:val="NoSpacing"/>
        <w:rPr>
          <w:rFonts w:ascii="Century Gothic" w:hAnsi="Century Gothic"/>
          <w:color w:themeColor="text1" w:val="000000"/>
          <w:sz w:val="20"/>
          <w:szCs w:val="20"/>
        </w:rPr>
      </w:pPr>
      <w:r>
        <w:rPr>
          <w:rFonts w:cs="Calibri" w:ascii="Century Gothic" w:hAnsi="Century Gothic"/>
          <w:color w:themeColor="text1" w:val="000000"/>
          <w:kern w:val="0"/>
          <w:sz w:val="20"/>
          <w:szCs w:val="20"/>
          <w:lang w:eastAsia="pl-PL"/>
        </w:rPr>
        <w:t xml:space="preserve">- administratorem Pani/Pana danych osobowych jest </w:t>
      </w:r>
      <w:r>
        <w:rPr>
          <w:rFonts w:cs="NotoSans-Regular" w:ascii="Century Gothic" w:hAnsi="Century Gothic"/>
          <w:color w:themeColor="text1" w:val="000000"/>
          <w:sz w:val="20"/>
          <w:szCs w:val="20"/>
        </w:rPr>
        <w:t>FIRMA BUDOWLANA INSTAL JAR SPÓŁKA JAWNA J.JAROSZ ST.SŁOWIK, Konary 21A, 27-640 Klimontów</w:t>
      </w:r>
    </w:p>
    <w:p>
      <w:pPr>
        <w:pStyle w:val="Normal"/>
        <w:widowControl/>
        <w:suppressAutoHyphens w:val="false"/>
        <w:spacing w:lineRule="auto" w:line="240" w:before="0" w:after="0"/>
        <w:textAlignment w:val="auto"/>
        <w:rPr>
          <w:rFonts w:ascii="Century Gothic" w:hAnsi="Century Gothic" w:cs="Montserrat-Light"/>
          <w:b/>
          <w:kern w:val="0"/>
          <w:sz w:val="20"/>
          <w:szCs w:val="20"/>
          <w:lang w:eastAsia="pl-PL"/>
        </w:rPr>
      </w:pPr>
      <w:r>
        <w:rPr>
          <w:rFonts w:cs="Calibri" w:ascii="Century Gothic" w:hAnsi="Century Gothic"/>
          <w:color w:themeColor="text1" w:val="000000"/>
          <w:kern w:val="0"/>
          <w:sz w:val="20"/>
          <w:szCs w:val="20"/>
          <w:lang w:eastAsia="pl-PL"/>
        </w:rPr>
        <w:t xml:space="preserve">- Pani/Pana dane osobowe przetwarzane będą na podstawie art. 6 ust. 1 lit. c RODO w celu związanym z zapytaniem ofertowym pn. </w:t>
      </w:r>
      <w:r>
        <w:rPr>
          <w:rFonts w:cs="Calibri" w:ascii="Century Gothic" w:hAnsi="Century Gothic"/>
          <w:b/>
          <w:color w:themeColor="text1" w:val="000000"/>
          <w:kern w:val="0"/>
          <w:sz w:val="20"/>
          <w:szCs w:val="20"/>
          <w:lang w:eastAsia="pl-PL"/>
        </w:rPr>
        <w:t>„</w:t>
      </w:r>
      <w:r>
        <w:rPr>
          <w:rFonts w:cs="Montserrat-Light" w:ascii="Century Gothic" w:hAnsi="Century Gothic"/>
          <w:b/>
          <w:kern w:val="0"/>
          <w:sz w:val="20"/>
          <w:szCs w:val="20"/>
          <w:lang w:eastAsia="pl-PL"/>
        </w:rPr>
        <w:t>Zakup sprzętu sportowo-rekreacyjnego w celu wdrożenia nowej usługi najmu</w:t>
      </w:r>
      <w:r>
        <w:rPr>
          <w:rFonts w:cs="Calibri" w:ascii="Century Gothic" w:hAnsi="Century Gothic"/>
          <w:b/>
          <w:color w:themeColor="text1" w:val="000000"/>
          <w:kern w:val="0"/>
          <w:sz w:val="20"/>
          <w:szCs w:val="20"/>
          <w:lang w:eastAsia="pl-PL"/>
        </w:rPr>
        <w:t>”</w:t>
      </w:r>
      <w:r>
        <w:rPr>
          <w:rFonts w:cs="Calibri" w:ascii="Century Gothic" w:hAnsi="Century Gothic"/>
          <w:color w:themeColor="text1" w:val="000000"/>
          <w:kern w:val="0"/>
          <w:sz w:val="20"/>
          <w:szCs w:val="20"/>
          <w:lang w:eastAsia="pl-PL"/>
        </w:rPr>
        <w:t xml:space="preserve">; </w:t>
        <w:br/>
        <w:t xml:space="preserve">- odbiorcami Pani/Pana danych osobowych będą osoby lub podmioty, którym udostępniona zostanie dokumentacja postępowania w oparciu o postanowienia Umowy o dofinansowanie; </w:t>
        <w:br/>
        <w:t xml:space="preserve">- Pani/Pana dane osobowe mogą być przetwarzane na podstawie art. 6 ust. 1 lit. b RODO w celu zawarcia i wykonania umowy; w przypadku niepodania danych niemożliwe jest zawarcie umowy; </w:t>
        <w:br/>
        <w:t xml:space="preserve">- zamówienie jest realizowane w związku z przyznaniem dofinansowanie dla projektu w ramach A1.2.1. Inwestycje dla przedsiębiorstw w produkty, usługi i kompetencje pracowników oraz kadry związane z dywersyfikacją działalności - Pani/Pana dane osobowe będą przechowywane przez okres trwania projektów oraz w okresie ich trwałości oraz ewentualnej realizacji umowy, chyba, że inne przepisy będą wymagały dłuższego okresu przechowywania, wtedy mają one zastosowanie; </w:t>
        <w:br/>
        <w:t xml:space="preserve">- obowiązek podania przez Panią/Pana danych osobowych bezpośrednio Pani/Pana dotyczących jest wymogiem ustawowym określonym w przepisach ustawy z dnia 22 kwietnia 2022 r. o zasadach realizacji zadań finansowanych ze środków europejskich w perspektywie finansowej 2021-2027, Wytycznymi dotyczącymi kwalifikowalności wydatków na lata 2021-2027; </w:t>
        <w:br/>
        <w:t xml:space="preserve">-  odniesieniu do Pani/Pana danych osobowych decyzje nie będą podejmowane w sposób zautomatyzowany, stosowanie do art. 22 RODO; </w:t>
      </w:r>
    </w:p>
    <w:p>
      <w:pPr>
        <w:pStyle w:val="Normal"/>
        <w:widowControl/>
        <w:suppressAutoHyphens w:val="false"/>
        <w:spacing w:lineRule="auto" w:line="240" w:before="0" w:after="56"/>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 posiada Pani/Pan: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 </w:t>
      </w:r>
    </w:p>
    <w:p>
      <w:pPr>
        <w:pStyle w:val="NoSpacing"/>
        <w:rPr>
          <w:rFonts w:ascii="Century Gothic" w:hAnsi="Century Gothic"/>
          <w:color w:themeColor="text1" w:val="000000"/>
          <w:sz w:val="20"/>
          <w:szCs w:val="20"/>
        </w:rPr>
      </w:pPr>
      <w:r>
        <w:rPr>
          <w:rFonts w:cs="Calibri" w:ascii="Century Gothic" w:hAnsi="Century Gothic"/>
          <w:color w:themeColor="text1" w:val="000000"/>
          <w:kern w:val="0"/>
          <w:sz w:val="20"/>
          <w:szCs w:val="20"/>
          <w:lang w:eastAsia="pl-PL"/>
        </w:rPr>
        <w:t xml:space="preserve">-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br/>
        <w:t xml:space="preserve">- Pani/Pana dane osobowe będą przechowywane przez </w:t>
      </w:r>
      <w:r>
        <w:rPr>
          <w:rFonts w:cs="NotoSans-Regular" w:ascii="Century Gothic" w:hAnsi="Century Gothic"/>
          <w:color w:themeColor="text1" w:val="000000"/>
          <w:sz w:val="20"/>
          <w:szCs w:val="20"/>
        </w:rPr>
        <w:t>FIRMA BUDOWLANA INSTAL JAR SPÓŁKA JAWNA J.JAROSZ ST.SŁOWIK, Konary 21A, 27-640 Klimontów</w:t>
      </w:r>
    </w:p>
    <w:p>
      <w:pPr>
        <w:pStyle w:val="NoSpacing"/>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r>
    </w:p>
    <w:p>
      <w:pPr>
        <w:pStyle w:val="Normal"/>
        <w:widowControl/>
        <w:suppressAutoHyphens w:val="false"/>
        <w:spacing w:lineRule="auto" w:line="240" w:before="0" w:after="0"/>
        <w:textAlignment w:val="auto"/>
        <w:rPr>
          <w:rFonts w:ascii="Century Gothic" w:hAnsi="Century Gothic" w:cs="Calibri"/>
          <w:color w:themeColor="text1" w:val="000000"/>
          <w:kern w:val="0"/>
          <w:sz w:val="20"/>
          <w:szCs w:val="20"/>
          <w:lang w:eastAsia="pl-PL"/>
        </w:rPr>
      </w:pPr>
      <w:r>
        <w:rPr>
          <w:rFonts w:cs="Calibri" w:ascii="Century Gothic" w:hAnsi="Century Gothic"/>
          <w:b/>
          <w:bCs/>
          <w:color w:themeColor="text1" w:val="000000"/>
          <w:kern w:val="0"/>
          <w:sz w:val="20"/>
          <w:szCs w:val="20"/>
          <w:lang w:eastAsia="pl-PL"/>
        </w:rPr>
        <w:t xml:space="preserve">Załączniki </w:t>
      </w:r>
    </w:p>
    <w:p>
      <w:pPr>
        <w:pStyle w:val="Normal"/>
        <w:widowControl/>
        <w:numPr>
          <w:ilvl w:val="0"/>
          <w:numId w:val="5"/>
        </w:numPr>
        <w:suppressAutoHyphens w:val="false"/>
        <w:spacing w:lineRule="auto" w:line="240" w:before="0" w:after="178"/>
        <w:ind w:hanging="360" w:left="36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Załącznik nr 1 - Formularz oferty- wzór </w:t>
      </w:r>
    </w:p>
    <w:p>
      <w:pPr>
        <w:pStyle w:val="Normal"/>
        <w:widowControl/>
        <w:numPr>
          <w:ilvl w:val="0"/>
          <w:numId w:val="5"/>
        </w:numPr>
        <w:suppressAutoHyphens w:val="false"/>
        <w:spacing w:lineRule="auto" w:line="240" w:before="0" w:after="178"/>
        <w:ind w:hanging="360" w:left="36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 xml:space="preserve">Załącznik nr 2 Oświadczenie Wykonawcy o spełnianiu warunków udziału w postępowaniu i braku podstaw do wykluczenia - wzór </w:t>
      </w:r>
    </w:p>
    <w:p>
      <w:pPr>
        <w:pStyle w:val="Normal"/>
        <w:widowControl/>
        <w:numPr>
          <w:ilvl w:val="0"/>
          <w:numId w:val="5"/>
        </w:numPr>
        <w:suppressAutoHyphens w:val="false"/>
        <w:spacing w:lineRule="auto" w:line="240" w:before="0" w:after="178"/>
        <w:ind w:hanging="360" w:left="360"/>
        <w:textAlignment w:val="auto"/>
        <w:rPr>
          <w:rFonts w:ascii="Century Gothic" w:hAnsi="Century Gothic" w:cs="Calibri"/>
          <w:color w:themeColor="text1" w:val="000000"/>
          <w:kern w:val="0"/>
          <w:sz w:val="20"/>
          <w:szCs w:val="20"/>
          <w:lang w:eastAsia="pl-PL"/>
        </w:rPr>
      </w:pPr>
      <w:r>
        <w:rPr>
          <w:rFonts w:cs="Calibri" w:ascii="Century Gothic" w:hAnsi="Century Gothic"/>
          <w:color w:themeColor="text1" w:val="000000"/>
          <w:kern w:val="0"/>
          <w:sz w:val="20"/>
          <w:szCs w:val="20"/>
          <w:lang w:eastAsia="pl-PL"/>
        </w:rPr>
        <w:t>Załącznik nr 3 Oświadczenie RODO</w:t>
      </w:r>
    </w:p>
    <w:sectPr>
      <w:headerReference w:type="even" r:id="rId2"/>
      <w:headerReference w:type="default" r:id="rId3"/>
      <w:headerReference w:type="first" r:id="rId4"/>
      <w:type w:val="nextPage"/>
      <w:pgSz w:w="11906" w:h="16838"/>
      <w:pgMar w:left="1418" w:right="1417" w:gutter="0" w:header="708" w:top="141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ahoma">
    <w:charset w:val="ee"/>
    <w:family w:val="swiss"/>
    <w:pitch w:val="variable"/>
  </w:font>
  <w:font w:name="OpenSymbol">
    <w:altName w:val="Arial Unicode MS"/>
    <w:charset w:val="ee"/>
    <w:family w:val="swiss"/>
    <w:pitch w:val="variable"/>
  </w:font>
  <w:font w:name="Verdana">
    <w:charset w:val="ee"/>
    <w:family w:val="swiss"/>
    <w:pitch w:val="variable"/>
  </w:font>
  <w:font w:name="Arial-BoldMT">
    <w:charset w:val="ee"/>
    <w:family w:val="roman"/>
    <w:pitch w:val="variable"/>
  </w:font>
  <w:font w:name="ArialMT">
    <w:charset w:val="ee"/>
    <w:family w:val="roman"/>
    <w:pitch w:val="variable"/>
  </w:font>
  <w:font w:name="Arial">
    <w:charset w:val="ee"/>
    <w:family w:val="swiss"/>
    <w:pitch w:val="variable"/>
  </w:font>
  <w:font w:name="Times New Roman">
    <w:charset w:val="ee"/>
    <w:family w:val="roman"/>
    <w:pitch w:val="variable"/>
  </w:font>
  <w:font w:name="Arial Narrow">
    <w:charset w:val="ee"/>
    <w:family w:val="swiss"/>
    <w:pitch w:val="variable"/>
  </w:font>
  <w:font w:name="Century Gothic">
    <w:charset w:val="ee"/>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733415" cy="361315"/>
          <wp:effectExtent l="0" t="0" r="0" b="0"/>
          <wp:docPr id="1" name="Obraz 1" descr="Krajowy Plan Odbudowy, Rzeczpospolita Polska, Sfinansowane przez Unię Europejską Next Generation EU, PARP-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Krajowy Plan Odbudowy, Rzeczpospolita Polska, Sfinansowane przez Unię Europejską Next Generation EU, PARP-Grupa PFR"/>
                  <pic:cNvPicPr>
                    <a:picLocks noChangeAspect="1" noChangeArrowheads="1"/>
                  </pic:cNvPicPr>
                </pic:nvPicPr>
                <pic:blipFill>
                  <a:blip r:embed="rId1"/>
                  <a:stretch>
                    <a:fillRect/>
                  </a:stretch>
                </pic:blipFill>
                <pic:spPr bwMode="auto">
                  <a:xfrm>
                    <a:off x="0" y="0"/>
                    <a:ext cx="5733415" cy="361315"/>
                  </a:xfrm>
                  <a:prstGeom prst="rect">
                    <a:avLst/>
                  </a:prstGeom>
                  <a:noFill/>
                </pic:spPr>
              </pic:pic>
            </a:graphicData>
          </a:graphic>
        </wp:inline>
      </w:drawing>
    </w:r>
  </w:p>
  <w:p>
    <w:pPr>
      <w:pStyle w:val="Normal"/>
      <w:tabs>
        <w:tab w:val="clear" w:pos="709"/>
        <w:tab w:val="left" w:pos="7530" w:leader="none"/>
      </w:tabs>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733415" cy="361315"/>
          <wp:effectExtent l="0" t="0" r="0" b="0"/>
          <wp:docPr id="2" name="Obraz 1" descr="Krajowy Plan Odbudowy, Rzeczpospolita Polska, Sfinansowane przez Unię Europejską Next Generation EU, PARP-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Krajowy Plan Odbudowy, Rzeczpospolita Polska, Sfinansowane przez Unię Europejską Next Generation EU, PARP-Grupa PFR"/>
                  <pic:cNvPicPr>
                    <a:picLocks noChangeAspect="1" noChangeArrowheads="1"/>
                  </pic:cNvPicPr>
                </pic:nvPicPr>
                <pic:blipFill>
                  <a:blip r:embed="rId1"/>
                  <a:stretch>
                    <a:fillRect/>
                  </a:stretch>
                </pic:blipFill>
                <pic:spPr bwMode="auto">
                  <a:xfrm>
                    <a:off x="0" y="0"/>
                    <a:ext cx="5733415" cy="361315"/>
                  </a:xfrm>
                  <a:prstGeom prst="rect">
                    <a:avLst/>
                  </a:prstGeom>
                  <a:noFill/>
                </pic:spPr>
              </pic:pic>
            </a:graphicData>
          </a:graphic>
        </wp:inline>
      </w:drawing>
    </w:r>
  </w:p>
  <w:p>
    <w:pPr>
      <w:pStyle w:val="Normal"/>
      <w:tabs>
        <w:tab w:val="clear" w:pos="709"/>
        <w:tab w:val="left" w:pos="7530" w:leader="none"/>
      </w:tab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2"/>
        <w:b/>
        <w:szCs w:val="22"/>
        <w:bCs w:val="false"/>
      </w:rPr>
    </w:lvl>
    <w:lvl w:ilvl="1">
      <w:start w:val="1"/>
      <w:isLgl/>
      <w:numFmt w:val="decimal"/>
      <w:lvlText w:val="%1.%2."/>
      <w:lvlJc w:val="left"/>
      <w:pPr>
        <w:tabs>
          <w:tab w:val="num" w:pos="0"/>
        </w:tabs>
        <w:ind w:left="1637" w:hanging="360"/>
      </w:pPr>
      <w:rPr>
        <w:b w:val="false"/>
        <w:bCs w:val="false"/>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lowerLetter"/>
      <w:lvlText w:val=""/>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17659"/>
    <w:pPr>
      <w:widowControl w:val="false"/>
      <w:suppressAutoHyphens w:val="true"/>
      <w:bidi w:val="0"/>
      <w:spacing w:lineRule="auto" w:line="276" w:before="0" w:after="200"/>
      <w:jc w:val="left"/>
      <w:textAlignment w:val="baseline"/>
    </w:pPr>
    <w:rPr>
      <w:rFonts w:ascii="Calibri" w:hAnsi="Calibri" w:eastAsia="SimSun" w:cs="Tahoma"/>
      <w:color w:val="auto"/>
      <w:kern w:val="2"/>
      <w:sz w:val="22"/>
      <w:szCs w:val="22"/>
      <w:lang w:eastAsia="en-US" w:val="pl-PL" w:bidi="ar-SA"/>
    </w:rPr>
  </w:style>
  <w:style w:type="paragraph" w:styleId="Heading1">
    <w:name w:val="heading 1"/>
    <w:basedOn w:val="Normal"/>
    <w:link w:val="Nagwek1Znak"/>
    <w:uiPriority w:val="9"/>
    <w:qFormat/>
    <w:rsid w:val="0016579d"/>
    <w:pPr>
      <w:widowControl/>
      <w:suppressAutoHyphens w:val="false"/>
      <w:spacing w:lineRule="auto" w:line="360" w:beforeAutospacing="1" w:afterAutospacing="1"/>
      <w:jc w:val="both"/>
      <w:textAlignment w:val="auto"/>
      <w:outlineLvl w:val="0"/>
    </w:pPr>
    <w:rPr>
      <w:rFonts w:eastAsia="Times New Roman" w:cs="Times New Roman"/>
      <w:b/>
      <w:bCs/>
      <w:kern w:val="2"/>
      <w:sz w:val="24"/>
      <w:szCs w:val="48"/>
      <w:lang w:eastAsia="pl-PL"/>
    </w:rPr>
  </w:style>
  <w:style w:type="paragraph" w:styleId="Heading2">
    <w:name w:val="heading 2"/>
    <w:basedOn w:val="Normal"/>
    <w:link w:val="Nagwek2Znak"/>
    <w:uiPriority w:val="9"/>
    <w:qFormat/>
    <w:rsid w:val="00d4148e"/>
    <w:pPr>
      <w:widowControl/>
      <w:numPr>
        <w:ilvl w:val="0"/>
        <w:numId w:val="1"/>
      </w:numPr>
      <w:suppressAutoHyphens w:val="false"/>
      <w:spacing w:lineRule="auto" w:line="240" w:beforeAutospacing="1" w:afterAutospacing="1"/>
      <w:jc w:val="both"/>
      <w:textAlignment w:val="auto"/>
      <w:outlineLvl w:val="1"/>
    </w:pPr>
    <w:rPr>
      <w:rFonts w:eastAsia="Times New Roman" w:cs="Times New Roman"/>
      <w:b/>
      <w:bCs/>
      <w:kern w:val="0"/>
      <w:szCs w:val="36"/>
      <w:shd w:fill="FFFFFF" w:val="clear"/>
      <w:lang w:eastAsia="pl-PL"/>
    </w:rPr>
  </w:style>
  <w:style w:type="paragraph" w:styleId="Heading3">
    <w:name w:val="heading 3"/>
    <w:basedOn w:val="Normal"/>
    <w:next w:val="Normal"/>
    <w:link w:val="Nagwek3Znak"/>
    <w:uiPriority w:val="9"/>
    <w:unhideWhenUsed/>
    <w:qFormat/>
    <w:rsid w:val="007d24e5"/>
    <w:pPr>
      <w:keepNext w:val="true"/>
      <w:keepLines/>
      <w:numPr>
        <w:ilvl w:val="1"/>
        <w:numId w:val="1"/>
      </w:numPr>
      <w:spacing w:before="40" w:after="0"/>
      <w:jc w:val="both"/>
      <w:outlineLvl w:val="2"/>
    </w:pPr>
    <w:rPr>
      <w:rFonts w:eastAsia="" w:cs="" w:cstheme="majorBidi" w:eastAsiaTheme="majorEastAsia"/>
      <w:lang w:eastAsia="ar-SA"/>
    </w:rPr>
  </w:style>
  <w:style w:type="paragraph" w:styleId="Heading4">
    <w:name w:val="heading 4"/>
    <w:basedOn w:val="Normal"/>
    <w:next w:val="Normal"/>
    <w:link w:val="Nagwek4Znak"/>
    <w:uiPriority w:val="9"/>
    <w:unhideWhenUsed/>
    <w:qFormat/>
    <w:rsid w:val="0011591b"/>
    <w:pPr>
      <w:keepNext w:val="true"/>
      <w:keepLines/>
      <w:numPr>
        <w:ilvl w:val="0"/>
        <w:numId w:val="2"/>
      </w:numPr>
      <w:spacing w:before="40" w:after="0"/>
      <w:jc w:val="both"/>
      <w:outlineLvl w:val="3"/>
    </w:pPr>
    <w:rPr>
      <w:rFonts w:eastAsia="Corbel" w:cs="" w:cstheme="majorBidi"/>
    </w:rPr>
  </w:style>
  <w:style w:type="character" w:styleId="DefaultParagraphFont" w:default="1">
    <w:name w:val="Default Paragraph Font"/>
    <w:uiPriority w:val="1"/>
    <w:semiHidden/>
    <w:unhideWhenUsed/>
    <w:qFormat/>
    <w:rPr/>
  </w:style>
  <w:style w:type="character" w:styleId="TekstkomentarzaZnak" w:customStyle="1">
    <w:name w:val="Tekst komentarza Znak"/>
    <w:qFormat/>
    <w:rsid w:val="00ca494c"/>
    <w:rPr>
      <w:sz w:val="20"/>
      <w:szCs w:val="20"/>
    </w:rPr>
  </w:style>
  <w:style w:type="character" w:styleId="CommentReference">
    <w:name w:val="annotation reference"/>
    <w:uiPriority w:val="99"/>
    <w:qFormat/>
    <w:rsid w:val="00ca494c"/>
    <w:rPr>
      <w:rFonts w:cs="Times New Roman"/>
      <w:sz w:val="16"/>
    </w:rPr>
  </w:style>
  <w:style w:type="character" w:styleId="TekstdymkaZnak" w:customStyle="1">
    <w:name w:val="Tekst dymka Znak"/>
    <w:qFormat/>
    <w:rsid w:val="00ca494c"/>
    <w:rPr>
      <w:rFonts w:ascii="Tahoma" w:hAnsi="Tahoma" w:cs="Tahoma"/>
      <w:sz w:val="16"/>
      <w:szCs w:val="16"/>
    </w:rPr>
  </w:style>
  <w:style w:type="character" w:styleId="Internetlink" w:customStyle="1">
    <w:name w:val="Internet link"/>
    <w:qFormat/>
    <w:rsid w:val="00ca494c"/>
    <w:rPr>
      <w:color w:val="0000FF"/>
      <w:u w:val="single"/>
    </w:rPr>
  </w:style>
  <w:style w:type="character" w:styleId="TematkomentarzaZnak" w:customStyle="1">
    <w:name w:val="Temat komentarza Znak"/>
    <w:qFormat/>
    <w:rsid w:val="00ca494c"/>
    <w:rPr>
      <w:b/>
      <w:bCs/>
      <w:sz w:val="20"/>
      <w:szCs w:val="20"/>
    </w:rPr>
  </w:style>
  <w:style w:type="character" w:styleId="NagwekZnak" w:customStyle="1">
    <w:name w:val="Nagłówek Znak"/>
    <w:basedOn w:val="DefaultParagraphFont"/>
    <w:uiPriority w:val="99"/>
    <w:qFormat/>
    <w:rsid w:val="00ca494c"/>
    <w:rPr/>
  </w:style>
  <w:style w:type="character" w:styleId="StopkaZnak" w:customStyle="1">
    <w:name w:val="Stopka Znak"/>
    <w:basedOn w:val="DefaultParagraphFont"/>
    <w:uiPriority w:val="99"/>
    <w:qFormat/>
    <w:rsid w:val="00ca494c"/>
    <w:rPr/>
  </w:style>
  <w:style w:type="character" w:styleId="apple-converted-space" w:customStyle="1">
    <w:name w:val="apple-converted-space"/>
    <w:basedOn w:val="DefaultParagraphFont"/>
    <w:qFormat/>
    <w:rsid w:val="00ca494c"/>
    <w:rPr/>
  </w:style>
  <w:style w:type="character" w:styleId="TekstprzypisukocowegoZnak" w:customStyle="1">
    <w:name w:val="Tekst przypisu końcowego Znak"/>
    <w:qFormat/>
    <w:rsid w:val="00ca494c"/>
    <w:rPr>
      <w:sz w:val="20"/>
      <w:szCs w:val="20"/>
    </w:rPr>
  </w:style>
  <w:style w:type="character" w:styleId="Znakiprzypiswkocowych">
    <w:name w:val="Znaki przypisów końcowych"/>
    <w:qFormat/>
    <w:rsid w:val="00ca494c"/>
    <w:rPr>
      <w:vertAlign w:val="superscript"/>
    </w:rPr>
  </w:style>
  <w:style w:type="character" w:styleId="EndnoteReference">
    <w:name w:val="endnote reference"/>
    <w:rPr>
      <w:vertAlign w:val="superscript"/>
    </w:rPr>
  </w:style>
  <w:style w:type="character" w:styleId="Wzmianka1" w:customStyle="1">
    <w:name w:val="Wzmianka1"/>
    <w:qFormat/>
    <w:rsid w:val="00ca494c"/>
    <w:rPr>
      <w:color w:val="2B579A"/>
    </w:rPr>
  </w:style>
  <w:style w:type="character" w:styleId="Znakiwypunktowania" w:customStyle="1">
    <w:name w:val="Znaki wypunktowania"/>
    <w:qFormat/>
    <w:rsid w:val="00ca494c"/>
    <w:rPr>
      <w:rFonts w:ascii="OpenSymbol" w:hAnsi="OpenSymbol" w:eastAsia="OpenSymbol" w:cs="OpenSymbol"/>
    </w:rPr>
  </w:style>
  <w:style w:type="character" w:styleId="NagwekZnak1" w:customStyle="1">
    <w:name w:val="Nagłówek Znak1"/>
    <w:basedOn w:val="DefaultParagraphFont"/>
    <w:uiPriority w:val="99"/>
    <w:qFormat/>
    <w:rsid w:val="00ca494c"/>
    <w:rPr/>
  </w:style>
  <w:style w:type="character" w:styleId="StopkaZnak1" w:customStyle="1">
    <w:name w:val="Stopka Znak1"/>
    <w:basedOn w:val="DefaultParagraphFont"/>
    <w:uiPriority w:val="99"/>
    <w:qFormat/>
    <w:rsid w:val="00ca494c"/>
    <w:rPr/>
  </w:style>
  <w:style w:type="character" w:styleId="Hyperlink">
    <w:name w:val="Hyperlink"/>
    <w:uiPriority w:val="99"/>
    <w:unhideWhenUsed/>
    <w:rsid w:val="00d31ed7"/>
    <w:rPr>
      <w:color w:val="0000FF"/>
      <w:u w:val="single"/>
    </w:rPr>
  </w:style>
  <w:style w:type="character" w:styleId="AkapitzlistZnak" w:customStyle="1">
    <w:name w:val="Akapit z listą Znak"/>
    <w:link w:val="ListParagraph"/>
    <w:uiPriority w:val="34"/>
    <w:qFormat/>
    <w:locked/>
    <w:rsid w:val="00d31ed7"/>
    <w:rPr>
      <w:kern w:val="2"/>
      <w:sz w:val="22"/>
      <w:szCs w:val="22"/>
      <w:lang w:eastAsia="en-US"/>
    </w:rPr>
  </w:style>
  <w:style w:type="character" w:styleId="Nierozpoznanawzmianka1" w:customStyle="1">
    <w:name w:val="Nierozpoznana wzmianka1"/>
    <w:uiPriority w:val="99"/>
    <w:semiHidden/>
    <w:unhideWhenUsed/>
    <w:qFormat/>
    <w:rsid w:val="00a42476"/>
    <w:rPr>
      <w:color w:val="808080"/>
      <w:shd w:fill="E6E6E6" w:val="clear"/>
    </w:rPr>
  </w:style>
  <w:style w:type="character" w:styleId="Nagwek1Znak" w:customStyle="1">
    <w:name w:val="Nagłówek 1 Znak"/>
    <w:uiPriority w:val="9"/>
    <w:qFormat/>
    <w:rsid w:val="0016579d"/>
    <w:rPr>
      <w:rFonts w:eastAsia="Times New Roman" w:cs="Times New Roman"/>
      <w:b/>
      <w:bCs/>
      <w:kern w:val="2"/>
      <w:sz w:val="24"/>
      <w:szCs w:val="48"/>
    </w:rPr>
  </w:style>
  <w:style w:type="character" w:styleId="Nagwek2Znak" w:customStyle="1">
    <w:name w:val="Nagłówek 2 Znak"/>
    <w:uiPriority w:val="9"/>
    <w:qFormat/>
    <w:rsid w:val="00d4148e"/>
    <w:rPr>
      <w:rFonts w:eastAsia="Times New Roman" w:cs="Times New Roman"/>
      <w:b/>
      <w:bCs/>
      <w:sz w:val="22"/>
      <w:szCs w:val="36"/>
    </w:rPr>
  </w:style>
  <w:style w:type="character" w:styleId="Emphasis">
    <w:name w:val="Emphasis"/>
    <w:uiPriority w:val="20"/>
    <w:qFormat/>
    <w:rsid w:val="00717de8"/>
    <w:rPr>
      <w:i/>
      <w:iCs/>
    </w:rPr>
  </w:style>
  <w:style w:type="character" w:styleId="classification-text" w:customStyle="1">
    <w:name w:val="classification-text"/>
    <w:basedOn w:val="DefaultParagraphFont"/>
    <w:qFormat/>
    <w:rsid w:val="00865c79"/>
    <w:rPr/>
  </w:style>
  <w:style w:type="character" w:styleId="Nierozpoznanawzmianka2" w:customStyle="1">
    <w:name w:val="Nierozpoznana wzmianka2"/>
    <w:basedOn w:val="DefaultParagraphFont"/>
    <w:uiPriority w:val="99"/>
    <w:semiHidden/>
    <w:unhideWhenUsed/>
    <w:qFormat/>
    <w:rsid w:val="00171dc7"/>
    <w:rPr>
      <w:color w:val="605E5C"/>
      <w:shd w:fill="E1DFDD" w:val="clear"/>
    </w:rPr>
  </w:style>
  <w:style w:type="character" w:styleId="TekstprzypisudolnegoZnak" w:customStyle="1">
    <w:name w:val="Tekst przypisu dolnego Znak"/>
    <w:basedOn w:val="DefaultParagraphFont"/>
    <w:uiPriority w:val="99"/>
    <w:qFormat/>
    <w:rsid w:val="00535676"/>
    <w:rPr>
      <w:rFonts w:ascii="Calibri" w:hAnsi="Calibri" w:eastAsia="Calibri" w:cs="" w:asciiTheme="minorHAnsi" w:cstheme="minorBidi" w:eastAsiaTheme="minorHAnsi" w:hAnsiTheme="minorHAnsi"/>
      <w:lang w:eastAsia="en-US"/>
    </w:rPr>
  </w:style>
  <w:style w:type="character" w:styleId="Znakiprzypiswdolnych">
    <w:name w:val="Znaki przypisów dolnych"/>
    <w:basedOn w:val="DefaultParagraphFont"/>
    <w:uiPriority w:val="99"/>
    <w:unhideWhenUsed/>
    <w:qFormat/>
    <w:rsid w:val="00535676"/>
    <w:rPr>
      <w:vertAlign w:val="superscript"/>
    </w:rPr>
  </w:style>
  <w:style w:type="character" w:styleId="FootnoteReference">
    <w:name w:val="footnote reference"/>
    <w:rPr>
      <w:vertAlign w:val="superscript"/>
    </w:rPr>
  </w:style>
  <w:style w:type="character" w:styleId="Nagwek3Znak" w:customStyle="1">
    <w:name w:val="Nagłówek 3 Znak"/>
    <w:basedOn w:val="DefaultParagraphFont"/>
    <w:uiPriority w:val="9"/>
    <w:qFormat/>
    <w:rsid w:val="007d24e5"/>
    <w:rPr>
      <w:rFonts w:eastAsia="" w:cs="" w:cstheme="majorBidi" w:eastAsiaTheme="majorEastAsia"/>
      <w:kern w:val="2"/>
      <w:sz w:val="22"/>
      <w:szCs w:val="22"/>
      <w:lang w:eastAsia="ar-SA"/>
    </w:rPr>
  </w:style>
  <w:style w:type="character" w:styleId="Nagwek4Znak" w:customStyle="1">
    <w:name w:val="Nagłówek 4 Znak"/>
    <w:basedOn w:val="DefaultParagraphFont"/>
    <w:uiPriority w:val="9"/>
    <w:qFormat/>
    <w:rsid w:val="0011591b"/>
    <w:rPr>
      <w:rFonts w:eastAsia="Corbel" w:cs="" w:cstheme="majorBidi"/>
      <w:kern w:val="2"/>
      <w:sz w:val="22"/>
      <w:szCs w:val="22"/>
      <w:lang w:eastAsia="en-US"/>
    </w:rPr>
  </w:style>
  <w:style w:type="character" w:styleId="bold" w:customStyle="1">
    <w:name w:val="bold"/>
    <w:qFormat/>
    <w:rsid w:val="00bb6ed1"/>
    <w:rPr>
      <w:b/>
      <w:bCs w:val="false"/>
    </w:rPr>
  </w:style>
  <w:style w:type="character" w:styleId="Tekstpodstawowy2Znak" w:customStyle="1">
    <w:name w:val="Tekst podstawowy 2 Znak"/>
    <w:basedOn w:val="DefaultParagraphFont"/>
    <w:link w:val="BodyText2"/>
    <w:uiPriority w:val="99"/>
    <w:semiHidden/>
    <w:qFormat/>
    <w:rsid w:val="00ff06d6"/>
    <w:rPr>
      <w:rFonts w:ascii="Verdana" w:hAnsi="Verdana" w:eastAsia="Times New Roman" w:cs="Times New Roman"/>
      <w:sz w:val="18"/>
    </w:rPr>
  </w:style>
  <w:style w:type="character" w:styleId="fontstyle01" w:customStyle="1">
    <w:name w:val="fontstyle01"/>
    <w:basedOn w:val="DefaultParagraphFont"/>
    <w:qFormat/>
    <w:rsid w:val="00d67e67"/>
    <w:rPr>
      <w:rFonts w:ascii="Arial-BoldMT" w:hAnsi="Arial-BoldMT"/>
      <w:b/>
      <w:bCs/>
      <w:i w:val="false"/>
      <w:iCs w:val="false"/>
      <w:color w:val="000000"/>
      <w:sz w:val="20"/>
      <w:szCs w:val="20"/>
    </w:rPr>
  </w:style>
  <w:style w:type="character" w:styleId="fontstyle21" w:customStyle="1">
    <w:name w:val="fontstyle21"/>
    <w:basedOn w:val="DefaultParagraphFont"/>
    <w:qFormat/>
    <w:rsid w:val="00d67e67"/>
    <w:rPr>
      <w:rFonts w:ascii="ArialMT" w:hAnsi="ArialMT"/>
      <w:b w:val="false"/>
      <w:bCs w:val="false"/>
      <w:i w:val="false"/>
      <w:iCs w:val="false"/>
      <w:color w:val="000000"/>
      <w:sz w:val="20"/>
      <w:szCs w:val="20"/>
    </w:rPr>
  </w:style>
  <w:style w:type="character" w:styleId="normaltextrun" w:customStyle="1">
    <w:name w:val="normaltextrun"/>
    <w:basedOn w:val="DefaultParagraphFont"/>
    <w:qFormat/>
    <w:rsid w:val="009e7011"/>
    <w:rPr/>
  </w:style>
  <w:style w:type="character" w:styleId="eop" w:customStyle="1">
    <w:name w:val="eop"/>
    <w:basedOn w:val="DefaultParagraphFont"/>
    <w:qFormat/>
    <w:rsid w:val="009e7011"/>
    <w:rPr/>
  </w:style>
  <w:style w:type="character" w:styleId="Strong">
    <w:name w:val="Strong"/>
    <w:basedOn w:val="DefaultParagraphFont"/>
    <w:uiPriority w:val="22"/>
    <w:qFormat/>
    <w:rsid w:val="003363db"/>
    <w:rPr>
      <w:b/>
      <w:bCs/>
    </w:rPr>
  </w:style>
  <w:style w:type="character" w:styleId="hgkelc" w:customStyle="1">
    <w:name w:val="hgkelc"/>
    <w:basedOn w:val="DefaultParagraphFont"/>
    <w:qFormat/>
    <w:rsid w:val="005c2a20"/>
    <w:rPr/>
  </w:style>
  <w:style w:type="paragraph" w:styleId="Nagwek" w:customStyle="1">
    <w:name w:val="Nagłówek"/>
    <w:basedOn w:val="Standard"/>
    <w:next w:val="Textbody"/>
    <w:qFormat/>
    <w:rsid w:val="00ca494c"/>
    <w:pPr>
      <w:keepNext w:val="true"/>
      <w:spacing w:before="240" w:after="120"/>
    </w:pPr>
    <w:rPr>
      <w:rFonts w:ascii="Arial" w:hAnsi="Arial" w:cs="Mangal"/>
      <w:sz w:val="28"/>
      <w:szCs w:val="28"/>
    </w:rPr>
  </w:style>
  <w:style w:type="paragraph" w:styleId="BodyText">
    <w:name w:val="Body Text"/>
    <w:basedOn w:val="Normal"/>
    <w:pPr>
      <w:spacing w:lineRule="auto" w:line="276" w:before="0" w:after="140"/>
    </w:pPr>
    <w:rPr/>
  </w:style>
  <w:style w:type="paragraph" w:styleId="List">
    <w:name w:val="List"/>
    <w:basedOn w:val="Textbody"/>
    <w:rsid w:val="00ca494c"/>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Standard"/>
    <w:qFormat/>
    <w:rsid w:val="00ca494c"/>
    <w:pPr>
      <w:suppressLineNumbers/>
    </w:pPr>
    <w:rPr>
      <w:rFonts w:cs="Mangal"/>
    </w:rPr>
  </w:style>
  <w:style w:type="paragraph" w:styleId="Standard" w:customStyle="1">
    <w:name w:val="Standard"/>
    <w:qFormat/>
    <w:rsid w:val="00ca494c"/>
    <w:pPr>
      <w:widowControl/>
      <w:suppressAutoHyphens w:val="true"/>
      <w:bidi w:val="0"/>
      <w:spacing w:lineRule="auto" w:line="276" w:before="0" w:after="200"/>
      <w:jc w:val="left"/>
      <w:textAlignment w:val="baseline"/>
    </w:pPr>
    <w:rPr>
      <w:rFonts w:ascii="Calibri" w:hAnsi="Calibri" w:eastAsia="SimSun" w:cs="Tahoma"/>
      <w:color w:val="auto"/>
      <w:kern w:val="2"/>
      <w:sz w:val="22"/>
      <w:szCs w:val="22"/>
      <w:lang w:eastAsia="en-US" w:val="pl-PL" w:bidi="ar-SA"/>
    </w:rPr>
  </w:style>
  <w:style w:type="paragraph" w:styleId="Textbody" w:customStyle="1">
    <w:name w:val="Text body"/>
    <w:basedOn w:val="Standard"/>
    <w:qFormat/>
    <w:rsid w:val="00ca494c"/>
    <w:pPr>
      <w:spacing w:before="0" w:after="120"/>
    </w:pPr>
    <w:rPr/>
  </w:style>
  <w:style w:type="paragraph" w:styleId="Legenda1" w:customStyle="1">
    <w:name w:val="Legenda1"/>
    <w:basedOn w:val="Standard"/>
    <w:qFormat/>
    <w:rsid w:val="00ca494c"/>
    <w:pPr>
      <w:suppressLineNumbers/>
      <w:spacing w:before="120" w:after="120"/>
    </w:pPr>
    <w:rPr>
      <w:rFonts w:cs="Mangal"/>
      <w:i/>
      <w:iCs/>
      <w:sz w:val="24"/>
      <w:szCs w:val="24"/>
    </w:rPr>
  </w:style>
  <w:style w:type="paragraph" w:styleId="ListParagraph">
    <w:name w:val="List Paragraph"/>
    <w:basedOn w:val="Standard"/>
    <w:link w:val="AkapitzlistZnak"/>
    <w:uiPriority w:val="34"/>
    <w:qFormat/>
    <w:rsid w:val="00ca494c"/>
    <w:pPr>
      <w:ind w:left="720"/>
    </w:pPr>
    <w:rPr/>
  </w:style>
  <w:style w:type="paragraph" w:styleId="CommentText">
    <w:name w:val="annotation text"/>
    <w:basedOn w:val="Standard"/>
    <w:uiPriority w:val="99"/>
    <w:rsid w:val="00ca494c"/>
    <w:pPr>
      <w:spacing w:lineRule="auto" w:line="240"/>
    </w:pPr>
    <w:rPr>
      <w:sz w:val="20"/>
      <w:szCs w:val="20"/>
    </w:rPr>
  </w:style>
  <w:style w:type="paragraph" w:styleId="BalloonText">
    <w:name w:val="Balloon Text"/>
    <w:basedOn w:val="Standard"/>
    <w:qFormat/>
    <w:rsid w:val="00ca494c"/>
    <w:pPr>
      <w:spacing w:lineRule="auto" w:line="240" w:before="0" w:after="0"/>
    </w:pPr>
    <w:rPr>
      <w:rFonts w:ascii="Tahoma" w:hAnsi="Tahoma"/>
      <w:sz w:val="16"/>
      <w:szCs w:val="16"/>
    </w:rPr>
  </w:style>
  <w:style w:type="paragraph" w:styleId="annotationsubject">
    <w:name w:val="annotation subject"/>
    <w:basedOn w:val="CommentText"/>
    <w:qFormat/>
    <w:rsid w:val="00ca494c"/>
    <w:pPr/>
    <w:rPr>
      <w:b/>
      <w:bCs/>
    </w:rPr>
  </w:style>
  <w:style w:type="paragraph" w:styleId="Revision">
    <w:name w:val="Revision"/>
    <w:qFormat/>
    <w:rsid w:val="00ca494c"/>
    <w:pPr>
      <w:widowControl/>
      <w:suppressAutoHyphens w:val="true"/>
      <w:bidi w:val="0"/>
      <w:spacing w:before="0" w:after="0"/>
      <w:jc w:val="left"/>
      <w:textAlignment w:val="baseline"/>
    </w:pPr>
    <w:rPr>
      <w:rFonts w:ascii="Calibri" w:hAnsi="Calibri" w:eastAsia="SimSun" w:cs="Tahoma"/>
      <w:color w:val="auto"/>
      <w:kern w:val="2"/>
      <w:sz w:val="22"/>
      <w:szCs w:val="22"/>
      <w:lang w:eastAsia="en-US" w:val="pl-PL" w:bidi="ar-SA"/>
    </w:rPr>
  </w:style>
  <w:style w:type="paragraph" w:styleId="Nagwek1" w:customStyle="1">
    <w:name w:val="Nagłówek1"/>
    <w:basedOn w:val="Standard"/>
    <w:qFormat/>
    <w:rsid w:val="00ca494c"/>
    <w:pPr>
      <w:suppressLineNumbers/>
      <w:tabs>
        <w:tab w:val="clear" w:pos="709"/>
        <w:tab w:val="center" w:pos="4536" w:leader="none"/>
        <w:tab w:val="right" w:pos="9072" w:leader="none"/>
      </w:tabs>
      <w:spacing w:lineRule="auto" w:line="240" w:before="0" w:after="0"/>
    </w:pPr>
    <w:rPr/>
  </w:style>
  <w:style w:type="paragraph" w:styleId="Stopka1" w:customStyle="1">
    <w:name w:val="Stopka1"/>
    <w:basedOn w:val="Standard"/>
    <w:qFormat/>
    <w:rsid w:val="00ca494c"/>
    <w:pPr>
      <w:suppressLineNumbers/>
      <w:tabs>
        <w:tab w:val="clear" w:pos="709"/>
        <w:tab w:val="center" w:pos="4536" w:leader="none"/>
        <w:tab w:val="right" w:pos="9072" w:leader="none"/>
      </w:tabs>
      <w:spacing w:lineRule="auto" w:line="240" w:before="0" w:after="0"/>
    </w:pPr>
    <w:rPr/>
  </w:style>
  <w:style w:type="paragraph" w:styleId="EndnoteText">
    <w:name w:val="endnote text"/>
    <w:basedOn w:val="Standard"/>
    <w:rsid w:val="00ca494c"/>
    <w:pPr>
      <w:spacing w:lineRule="auto" w:line="240" w:before="0" w:after="0"/>
    </w:pPr>
    <w:rPr>
      <w:sz w:val="20"/>
      <w:szCs w:val="20"/>
    </w:rPr>
  </w:style>
  <w:style w:type="paragraph" w:styleId="Zawartotabeli" w:customStyle="1">
    <w:name w:val="Zawartość tabeli"/>
    <w:basedOn w:val="Standard"/>
    <w:qFormat/>
    <w:rsid w:val="00ca494c"/>
    <w:pPr>
      <w:suppressLineNumbers/>
    </w:pPr>
    <w:rPr/>
  </w:style>
  <w:style w:type="paragraph" w:styleId="Gwkaistopka">
    <w:name w:val="Główka i stopka"/>
    <w:basedOn w:val="Normal"/>
    <w:qFormat/>
    <w:pPr/>
    <w:rPr/>
  </w:style>
  <w:style w:type="paragraph" w:styleId="Header">
    <w:name w:val="header"/>
    <w:basedOn w:val="Normal"/>
    <w:link w:val="NagwekZnak1"/>
    <w:uiPriority w:val="99"/>
    <w:unhideWhenUsed/>
    <w:rsid w:val="00ca494c"/>
    <w:pPr>
      <w:tabs>
        <w:tab w:val="clear" w:pos="709"/>
        <w:tab w:val="center" w:pos="4536" w:leader="none"/>
        <w:tab w:val="right" w:pos="9072" w:leader="none"/>
      </w:tabs>
      <w:spacing w:lineRule="auto" w:line="240" w:before="0" w:after="0"/>
    </w:pPr>
    <w:rPr/>
  </w:style>
  <w:style w:type="paragraph" w:styleId="Footer">
    <w:name w:val="footer"/>
    <w:basedOn w:val="Normal"/>
    <w:link w:val="StopkaZnak1"/>
    <w:uiPriority w:val="99"/>
    <w:unhideWhenUsed/>
    <w:rsid w:val="00ca494c"/>
    <w:pPr>
      <w:tabs>
        <w:tab w:val="clear" w:pos="709"/>
        <w:tab w:val="center" w:pos="4536" w:leader="none"/>
        <w:tab w:val="right" w:pos="9072" w:leader="none"/>
      </w:tabs>
      <w:spacing w:lineRule="auto" w:line="240" w:before="0" w:after="0"/>
    </w:pPr>
    <w:rPr/>
  </w:style>
  <w:style w:type="paragraph" w:styleId="standard1" w:customStyle="1">
    <w:name w:val="standard1"/>
    <w:basedOn w:val="Normal"/>
    <w:qFormat/>
    <w:rsid w:val="00256843"/>
    <w:pPr>
      <w:widowControl/>
      <w:suppressAutoHyphens w:val="false"/>
      <w:spacing w:lineRule="auto" w:line="240" w:beforeAutospacing="1" w:afterAutospacing="1"/>
      <w:textAlignment w:val="auto"/>
    </w:pPr>
    <w:rPr>
      <w:rFonts w:eastAsia="Calibri" w:cs="Calibri"/>
      <w:kern w:val="0"/>
      <w:lang w:eastAsia="pl-PL"/>
    </w:rPr>
  </w:style>
  <w:style w:type="paragraph" w:styleId="NormalWeb">
    <w:name w:val="Normal (Web)"/>
    <w:basedOn w:val="Normal"/>
    <w:uiPriority w:val="99"/>
    <w:unhideWhenUsed/>
    <w:qFormat/>
    <w:rsid w:val="00717de8"/>
    <w:pPr>
      <w:widowControl/>
      <w:suppressAutoHyphens w:val="false"/>
      <w:spacing w:lineRule="auto" w:line="240" w:beforeAutospacing="1" w:afterAutospacing="1"/>
      <w:textAlignment w:val="auto"/>
    </w:pPr>
    <w:rPr>
      <w:rFonts w:ascii="Times New Roman" w:hAnsi="Times New Roman" w:eastAsia="Times New Roman" w:cs="Times New Roman"/>
      <w:kern w:val="0"/>
      <w:sz w:val="24"/>
      <w:szCs w:val="24"/>
      <w:lang w:eastAsia="pl-PL"/>
    </w:rPr>
  </w:style>
  <w:style w:type="paragraph" w:styleId="FootnoteText">
    <w:name w:val="footnote text"/>
    <w:basedOn w:val="Normal"/>
    <w:link w:val="TekstprzypisudolnegoZnak"/>
    <w:uiPriority w:val="99"/>
    <w:unhideWhenUsed/>
    <w:rsid w:val="00535676"/>
    <w:pPr>
      <w:widowControl/>
      <w:suppressAutoHyphens w:val="false"/>
      <w:spacing w:lineRule="auto" w:line="240" w:before="0" w:after="0"/>
      <w:jc w:val="both"/>
      <w:textAlignment w:val="auto"/>
    </w:pPr>
    <w:rPr>
      <w:rFonts w:ascii="Calibri" w:hAnsi="Calibri" w:eastAsia="Calibri" w:cs="" w:asciiTheme="minorHAnsi" w:cstheme="minorBidi" w:eastAsiaTheme="minorHAnsi" w:hAnsiTheme="minorHAnsi"/>
      <w:kern w:val="0"/>
      <w:sz w:val="20"/>
      <w:szCs w:val="20"/>
    </w:rPr>
  </w:style>
  <w:style w:type="paragraph" w:styleId="p" w:customStyle="1">
    <w:name w:val="p"/>
    <w:qFormat/>
    <w:rsid w:val="00bb6ed1"/>
    <w:pPr>
      <w:widowControl/>
      <w:bidi w:val="0"/>
      <w:spacing w:lineRule="auto" w:line="338" w:before="0" w:after="0"/>
      <w:jc w:val="left"/>
    </w:pPr>
    <w:rPr>
      <w:rFonts w:ascii="Arial Narrow" w:hAnsi="Arial Narrow" w:eastAsia="Arial Narrow" w:cs="Arial Narrow"/>
      <w:color w:val="auto"/>
      <w:kern w:val="0"/>
      <w:sz w:val="22"/>
      <w:szCs w:val="22"/>
      <w:lang w:val="pl-PL" w:eastAsia="pl-PL" w:bidi="ar-SA"/>
    </w:rPr>
  </w:style>
  <w:style w:type="paragraph" w:styleId="tableCenter" w:customStyle="1">
    <w:name w:val="tableCenter"/>
    <w:qFormat/>
    <w:rsid w:val="00bb6ed1"/>
    <w:pPr>
      <w:widowControl/>
      <w:bidi w:val="0"/>
      <w:spacing w:lineRule="auto" w:line="257" w:before="0" w:after="0"/>
      <w:jc w:val="center"/>
    </w:pPr>
    <w:rPr>
      <w:rFonts w:ascii="Arial Narrow" w:hAnsi="Arial Narrow" w:eastAsia="Arial Narrow" w:cs="Arial Narrow"/>
      <w:color w:val="auto"/>
      <w:kern w:val="0"/>
      <w:sz w:val="22"/>
      <w:szCs w:val="22"/>
      <w:lang w:val="pl-PL" w:eastAsia="pl-PL" w:bidi="ar-SA"/>
    </w:rPr>
  </w:style>
  <w:style w:type="paragraph" w:styleId="Default" w:customStyle="1">
    <w:name w:val="Default"/>
    <w:qFormat/>
    <w:rsid w:val="00513088"/>
    <w:pPr>
      <w:widowControl/>
      <w:bidi w:val="0"/>
      <w:spacing w:before="0" w:after="0"/>
      <w:jc w:val="left"/>
    </w:pPr>
    <w:rPr>
      <w:rFonts w:eastAsia="Calibri" w:cs="Calibri" w:eastAsiaTheme="minorHAnsi" w:ascii="Calibri" w:hAnsi="Calibri"/>
      <w:color w:val="000000"/>
      <w:kern w:val="0"/>
      <w:sz w:val="24"/>
      <w:szCs w:val="24"/>
      <w:lang w:eastAsia="en-US" w:val="pl-PL" w:bidi="ar-SA"/>
    </w:rPr>
  </w:style>
  <w:style w:type="paragraph" w:styleId="BodyText2">
    <w:name w:val="Body Text 2"/>
    <w:basedOn w:val="Normal"/>
    <w:link w:val="Tekstpodstawowy2Znak"/>
    <w:uiPriority w:val="99"/>
    <w:semiHidden/>
    <w:unhideWhenUsed/>
    <w:qFormat/>
    <w:rsid w:val="00ff06d6"/>
    <w:pPr>
      <w:widowControl/>
      <w:suppressAutoHyphens w:val="false"/>
      <w:spacing w:lineRule="auto" w:line="240" w:before="0" w:after="0"/>
      <w:jc w:val="both"/>
      <w:textAlignment w:val="auto"/>
    </w:pPr>
    <w:rPr>
      <w:rFonts w:ascii="Verdana" w:hAnsi="Verdana" w:eastAsia="Times New Roman" w:cs="Times New Roman"/>
      <w:kern w:val="0"/>
      <w:sz w:val="18"/>
      <w:szCs w:val="20"/>
      <w:lang w:eastAsia="pl-PL"/>
    </w:rPr>
  </w:style>
  <w:style w:type="paragraph" w:styleId="Akapitzlist1" w:customStyle="1">
    <w:name w:val="Akapit z listą1"/>
    <w:basedOn w:val="Normal"/>
    <w:qFormat/>
    <w:rsid w:val="002e5bbe"/>
    <w:pPr>
      <w:widowControl/>
      <w:suppressAutoHyphens w:val="false"/>
      <w:spacing w:lineRule="auto" w:line="240"/>
      <w:ind w:left="708"/>
      <w:textAlignment w:val="auto"/>
    </w:pPr>
    <w:rPr>
      <w:rFonts w:ascii="Times New Roman" w:hAnsi="Times New Roman" w:eastAsia="Times New Roman" w:cs="Times New Roman"/>
      <w:kern w:val="0"/>
      <w:sz w:val="20"/>
      <w:szCs w:val="20"/>
      <w:lang w:eastAsia="pl-PL" w:bidi="en-US"/>
    </w:rPr>
  </w:style>
  <w:style w:type="paragraph" w:styleId="paragraph" w:customStyle="1">
    <w:name w:val="paragraph"/>
    <w:basedOn w:val="Normal"/>
    <w:qFormat/>
    <w:rsid w:val="009e7011"/>
    <w:pPr>
      <w:widowControl/>
      <w:suppressAutoHyphens w:val="false"/>
      <w:spacing w:lineRule="auto" w:line="240" w:beforeAutospacing="1" w:afterAutospacing="1"/>
      <w:textAlignment w:val="auto"/>
    </w:pPr>
    <w:rPr>
      <w:rFonts w:ascii="Times New Roman" w:hAnsi="Times New Roman" w:eastAsia="Times New Roman" w:cs="Times New Roman"/>
      <w:kern w:val="0"/>
      <w:sz w:val="24"/>
      <w:szCs w:val="24"/>
      <w:lang w:eastAsia="pl-PL"/>
    </w:rPr>
  </w:style>
  <w:style w:type="paragraph" w:styleId="NoSpacing">
    <w:name w:val="No Spacing"/>
    <w:uiPriority w:val="1"/>
    <w:qFormat/>
    <w:rsid w:val="00542ea3"/>
    <w:pPr>
      <w:widowControl w:val="false"/>
      <w:suppressAutoHyphens w:val="true"/>
      <w:bidi w:val="0"/>
      <w:spacing w:before="0" w:after="0"/>
      <w:jc w:val="left"/>
      <w:textAlignment w:val="baseline"/>
    </w:pPr>
    <w:rPr>
      <w:rFonts w:ascii="Calibri" w:hAnsi="Calibri" w:eastAsia="SimSun" w:cs="Tahoma"/>
      <w:color w:val="auto"/>
      <w:kern w:val="2"/>
      <w:sz w:val="22"/>
      <w:szCs w:val="22"/>
      <w:lang w:eastAsia="en-US" w:val="pl-PL" w:bidi="ar-SA"/>
    </w:rPr>
  </w:style>
  <w:style w:type="numbering" w:styleId="Bezlisty" w:default="1">
    <w:name w:val="Bez listy"/>
    <w:uiPriority w:val="99"/>
    <w:semiHidden/>
    <w:unhideWhenUsed/>
    <w:qFormat/>
  </w:style>
  <w:style w:type="numbering" w:styleId="Zaimportowanystyl1" w:customStyle="1">
    <w:name w:val="Zaimportowany styl 1"/>
    <w:qFormat/>
    <w:rsid w:val="00513088"/>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59"/>
    <w:rsid w:val="00ff06d6"/>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327E-D918-4B2A-8D74-6E6CCCBB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LibreOffice/25.2.5.2$Windows_X86_64 LibreOffice_project/03d19516eb2e1dd5d4ccd751a0d6f35f35e08022</Application>
  <AppVersion>15.0000</AppVersion>
  <Pages>8</Pages>
  <Words>3764</Words>
  <Characters>24474</Characters>
  <CharactersWithSpaces>28257</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2025-09-16T09:16:00Z</dcterms:created>
  <dc:creator>Piotr Loretanski</dc:creator>
  <dc:description/>
  <dc:language>pl-PL</dc:language>
  <cp:lastModifiedBy/>
  <cp:lastPrinted>2025-04-12T11:25:00Z</cp:lastPrinted>
  <dcterms:modified xsi:type="dcterms:W3CDTF">2025-09-16T12:24:19Z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